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54F0A" w14:textId="31FD708E" w:rsidR="006A68DA" w:rsidRDefault="00E21CFC" w:rsidP="006A68DA">
      <w:pPr>
        <w:spacing w:after="120"/>
        <w:jc w:val="center"/>
        <w:rPr>
          <w:b/>
        </w:rPr>
      </w:pPr>
      <w:r w:rsidRPr="00C84834">
        <w:rPr>
          <w:b/>
        </w:rPr>
        <w:t>Frede among the Skeptics</w:t>
      </w:r>
    </w:p>
    <w:p w14:paraId="469005FE" w14:textId="5F035602" w:rsidR="00C84834" w:rsidRPr="00A537CB" w:rsidRDefault="00861766" w:rsidP="006A68DA">
      <w:pPr>
        <w:spacing w:before="120" w:after="120"/>
        <w:jc w:val="center"/>
      </w:pPr>
      <w:r>
        <w:rPr>
          <w:b/>
        </w:rPr>
        <w:t>Section 1</w:t>
      </w:r>
      <w:r w:rsidR="00C84834" w:rsidRPr="001F0F6B">
        <w:rPr>
          <w:b/>
        </w:rPr>
        <w:t>: Introduction</w:t>
      </w:r>
      <w:r w:rsidR="00A537CB" w:rsidRPr="00840390">
        <w:rPr>
          <w:rStyle w:val="FootnoteReference"/>
        </w:rPr>
        <w:footnoteReference w:id="1"/>
      </w:r>
    </w:p>
    <w:p w14:paraId="43E43CE1" w14:textId="4ADDFBE2" w:rsidR="00933FBD" w:rsidRDefault="00C84834" w:rsidP="006A68DA">
      <w:pPr>
        <w:spacing w:line="480" w:lineRule="auto"/>
      </w:pPr>
      <w:r>
        <w:t xml:space="preserve">Sextus Empiricus, in </w:t>
      </w:r>
      <w:r>
        <w:rPr>
          <w:i/>
        </w:rPr>
        <w:t>Outlines of Pyrrhonism</w:t>
      </w:r>
      <w:r w:rsidR="00BE7A71">
        <w:t>, contrast</w:t>
      </w:r>
      <w:r w:rsidR="003A0357">
        <w:t>s</w:t>
      </w:r>
      <w:r w:rsidR="00A0499F">
        <w:t xml:space="preserve"> Skeptic to</w:t>
      </w:r>
      <w:r>
        <w:t xml:space="preserve"> Dogmatist and Academic schools</w:t>
      </w:r>
      <w:r w:rsidR="0054512D">
        <w:rPr>
          <w:rStyle w:val="FootnoteReference"/>
        </w:rPr>
        <w:footnoteReference w:id="2"/>
      </w:r>
      <w:r>
        <w:t xml:space="preserve"> prominent at the time</w:t>
      </w:r>
      <w:r w:rsidR="006463C6">
        <w:t xml:space="preserve">, </w:t>
      </w:r>
      <w:r w:rsidR="00C85988">
        <w:t>taking the Dogmatists</w:t>
      </w:r>
      <w:r w:rsidR="00AB0C49">
        <w:t xml:space="preserve"> as his main foil</w:t>
      </w:r>
      <w:r>
        <w:t>.</w:t>
      </w:r>
      <w:r w:rsidR="0054512D">
        <w:rPr>
          <w:rStyle w:val="FootnoteReference"/>
        </w:rPr>
        <w:footnoteReference w:id="3"/>
      </w:r>
      <w:r w:rsidR="006463C6">
        <w:t xml:space="preserve"> Dogmatists claim to have discovered truths </w:t>
      </w:r>
      <w:r w:rsidR="0019780F">
        <w:t>about reality through</w:t>
      </w:r>
      <w:r w:rsidR="00785CFE">
        <w:t xml:space="preserve"> </w:t>
      </w:r>
      <w:r w:rsidR="00981C4F">
        <w:t xml:space="preserve">perceiving </w:t>
      </w:r>
      <w:r w:rsidR="0019780F">
        <w:t xml:space="preserve">cataleptic impressions and </w:t>
      </w:r>
      <w:r w:rsidR="00C85988">
        <w:t xml:space="preserve">employing </w:t>
      </w:r>
      <w:r w:rsidR="00981C4F">
        <w:t>correct</w:t>
      </w:r>
      <w:r w:rsidR="0019780F">
        <w:t xml:space="preserve"> reasoning</w:t>
      </w:r>
      <w:r w:rsidR="006463C6">
        <w:t>.</w:t>
      </w:r>
      <w:r w:rsidR="006463C6">
        <w:rPr>
          <w:rStyle w:val="FootnoteReference"/>
        </w:rPr>
        <w:footnoteReference w:id="4"/>
      </w:r>
      <w:r w:rsidR="00A0499F">
        <w:t xml:space="preserve"> </w:t>
      </w:r>
      <w:r w:rsidR="006463C6">
        <w:t>Skeptics</w:t>
      </w:r>
      <w:r w:rsidR="00A0499F">
        <w:t>, in contrast,</w:t>
      </w:r>
      <w:r w:rsidR="006463C6">
        <w:t xml:space="preserve"> cultivate an ability to suspend judgment</w:t>
      </w:r>
      <w:r>
        <w:t xml:space="preserve"> over unclear matters of investigation</w:t>
      </w:r>
      <w:r w:rsidR="006066AE">
        <w:t>, e.g. putative truths revealed by argumentation and reasoning</w:t>
      </w:r>
      <w:r>
        <w:t>.</w:t>
      </w:r>
      <w:r w:rsidR="00A0499F">
        <w:rPr>
          <w:rStyle w:val="FootnoteReference"/>
        </w:rPr>
        <w:footnoteReference w:id="5"/>
      </w:r>
      <w:r w:rsidR="006463C6">
        <w:t xml:space="preserve"> In practice, Dogmatist arguments offere</w:t>
      </w:r>
      <w:r w:rsidR="009D6099">
        <w:t>d in favor of some claim</w:t>
      </w:r>
      <w:r w:rsidR="006463C6">
        <w:t xml:space="preserve"> are to be countered by S</w:t>
      </w:r>
      <w:r w:rsidR="00D334D2">
        <w:t>keptic arguments for a contrary conclusion</w:t>
      </w:r>
      <w:r w:rsidR="006463C6">
        <w:t xml:space="preserve"> resulting in equip</w:t>
      </w:r>
      <w:r w:rsidR="009442CD">
        <w:t>ollence, or (roughly) equal appearances of persuasiveness</w:t>
      </w:r>
      <w:r w:rsidR="006463C6">
        <w:t>.</w:t>
      </w:r>
      <w:r w:rsidR="00A0499F">
        <w:rPr>
          <w:rStyle w:val="FootnoteReference"/>
        </w:rPr>
        <w:footnoteReference w:id="6"/>
      </w:r>
      <w:r w:rsidR="006463C6">
        <w:t xml:space="preserve"> </w:t>
      </w:r>
      <w:r w:rsidR="00AB0C49">
        <w:t>S</w:t>
      </w:r>
      <w:r w:rsidR="0044019E">
        <w:t>table and extended equipollence leads to suspension of judg</w:t>
      </w:r>
      <w:r w:rsidR="0014239A">
        <w:t>ment,</w:t>
      </w:r>
      <w:r w:rsidR="0054512D">
        <w:rPr>
          <w:rStyle w:val="FootnoteReference"/>
        </w:rPr>
        <w:footnoteReference w:id="7"/>
      </w:r>
      <w:r w:rsidR="00933FBD">
        <w:t xml:space="preserve"> </w:t>
      </w:r>
      <w:r w:rsidR="0014239A">
        <w:t>and s</w:t>
      </w:r>
      <w:r w:rsidR="009B3775">
        <w:t>uspension of judgment to</w:t>
      </w:r>
      <w:r w:rsidR="000D3794">
        <w:t xml:space="preserve"> tranquility</w:t>
      </w:r>
      <w:r w:rsidR="009D6099">
        <w:t>.</w:t>
      </w:r>
      <w:r w:rsidR="0054512D">
        <w:rPr>
          <w:rStyle w:val="FootnoteReference"/>
        </w:rPr>
        <w:footnoteReference w:id="8"/>
      </w:r>
      <w:r w:rsidR="00933FBD">
        <w:t xml:space="preserve"> </w:t>
      </w:r>
    </w:p>
    <w:p w14:paraId="4F72843C" w14:textId="3555C536" w:rsidR="000D3794" w:rsidRDefault="000D3794" w:rsidP="006A68DA">
      <w:pPr>
        <w:spacing w:line="480" w:lineRule="auto"/>
        <w:ind w:firstLine="720"/>
      </w:pPr>
      <w:r>
        <w:t>Thus described</w:t>
      </w:r>
      <w:r w:rsidR="002D0793">
        <w:t>, the scope of suspension of judgment</w:t>
      </w:r>
      <w:r w:rsidR="004147F8">
        <w:t xml:space="preserve"> seems restricted to Dogmatist claims, but this is hardly clear from Sextus’</w:t>
      </w:r>
      <w:r w:rsidR="006066AE">
        <w:t xml:space="preserve">s </w:t>
      </w:r>
      <w:r w:rsidR="0014239A">
        <w:t xml:space="preserve">actual </w:t>
      </w:r>
      <w:r w:rsidR="006066AE">
        <w:t xml:space="preserve">presentation. </w:t>
      </w:r>
      <w:r>
        <w:t>Indeed</w:t>
      </w:r>
      <w:r w:rsidR="0014239A">
        <w:t xml:space="preserve">, in </w:t>
      </w:r>
      <w:r>
        <w:t xml:space="preserve">several </w:t>
      </w:r>
      <w:r w:rsidR="0014239A">
        <w:t>places</w:t>
      </w:r>
      <w:r w:rsidR="00B3603E">
        <w:t xml:space="preserve"> </w:t>
      </w:r>
      <w:r w:rsidR="006066AE">
        <w:t xml:space="preserve">Sextus </w:t>
      </w:r>
      <w:r w:rsidR="004147F8">
        <w:t>suggests Skeptics suspend judgment over eve</w:t>
      </w:r>
      <w:r w:rsidR="006066AE">
        <w:t>rything.</w:t>
      </w:r>
      <w:r w:rsidR="00440AA0">
        <w:rPr>
          <w:rStyle w:val="FootnoteReference"/>
        </w:rPr>
        <w:footnoteReference w:id="9"/>
      </w:r>
      <w:r w:rsidR="002B18AA">
        <w:t xml:space="preserve"> Such remarks suggest Skeptics lacked any beliefs</w:t>
      </w:r>
      <w:r w:rsidR="004147F8">
        <w:t xml:space="preserve">. </w:t>
      </w:r>
      <w:r w:rsidR="001B1875">
        <w:t xml:space="preserve">At least </w:t>
      </w:r>
      <w:r w:rsidR="00B3603E">
        <w:t>Sextus’s</w:t>
      </w:r>
      <w:r w:rsidR="006066AE">
        <w:t xml:space="preserve"> contemporary objectors seemed to think so, a</w:t>
      </w:r>
      <w:r w:rsidR="00B3603E">
        <w:t>s evidenced by the common</w:t>
      </w:r>
      <w:r w:rsidR="002D0793">
        <w:t xml:space="preserve"> apraxia objection</w:t>
      </w:r>
      <w:r w:rsidR="004578E1">
        <w:t xml:space="preserve"> </w:t>
      </w:r>
      <w:r w:rsidR="00022F1B">
        <w:t>levelled against</w:t>
      </w:r>
      <w:r w:rsidR="00B3603E">
        <w:t xml:space="preserve"> Skepticism</w:t>
      </w:r>
      <w:r w:rsidR="004578E1">
        <w:t>.</w:t>
      </w:r>
      <w:r w:rsidR="0017736A">
        <w:rPr>
          <w:rStyle w:val="FootnoteReference"/>
        </w:rPr>
        <w:footnoteReference w:id="10"/>
      </w:r>
      <w:r w:rsidR="004578E1">
        <w:t xml:space="preserve"> Roughly</w:t>
      </w:r>
      <w:r w:rsidR="002D0793">
        <w:t>,</w:t>
      </w:r>
      <w:r w:rsidR="004578E1">
        <w:t xml:space="preserve"> if Skeptics lack beliefs they cannot act.</w:t>
      </w:r>
      <w:r w:rsidR="004C3B26" w:rsidRPr="004C3B26">
        <w:rPr>
          <w:rStyle w:val="FootnoteReference"/>
        </w:rPr>
        <w:footnoteReference w:id="11"/>
      </w:r>
      <w:r w:rsidR="004C3B26">
        <w:t xml:space="preserve"> </w:t>
      </w:r>
      <w:r w:rsidR="00022F1B">
        <w:t>Plausibly, f</w:t>
      </w:r>
      <w:r w:rsidR="006066AE">
        <w:t xml:space="preserve">or the apraxia objection </w:t>
      </w:r>
      <w:r>
        <w:t>to be forceful,</w:t>
      </w:r>
      <w:r w:rsidR="009442CD">
        <w:t xml:space="preserve"> objectors must have thought Skeptics lacked beliefs. </w:t>
      </w:r>
    </w:p>
    <w:p w14:paraId="5A7C8F4E" w14:textId="4CB1C0DE" w:rsidR="00B55DCD" w:rsidRDefault="00022F1B" w:rsidP="006A68DA">
      <w:pPr>
        <w:spacing w:line="480" w:lineRule="auto"/>
        <w:ind w:firstLine="720"/>
      </w:pPr>
      <w:r>
        <w:lastRenderedPageBreak/>
        <w:t>In the interest of correcting misunderstandings of Skepticism, Sextus</w:t>
      </w:r>
      <w:r w:rsidR="0014239A">
        <w:t xml:space="preserve"> </w:t>
      </w:r>
      <w:r w:rsidR="00800CAD">
        <w:t>addressed</w:t>
      </w:r>
      <w:r w:rsidR="0014239A">
        <w:t xml:space="preserve"> whether Skeptics h</w:t>
      </w:r>
      <w:r w:rsidR="001B1875">
        <w:t>ad beliefs</w:t>
      </w:r>
      <w:r w:rsidR="002D0793">
        <w:t>.</w:t>
      </w:r>
      <w:r w:rsidR="009442CD">
        <w:rPr>
          <w:rStyle w:val="FootnoteReference"/>
        </w:rPr>
        <w:footnoteReference w:id="12"/>
      </w:r>
      <w:r w:rsidR="002D0793">
        <w:t xml:space="preserve"> </w:t>
      </w:r>
      <w:r w:rsidR="00800CAD">
        <w:t>Sextus distinguished</w:t>
      </w:r>
      <w:r w:rsidR="002D0793">
        <w:t xml:space="preserve"> two senses</w:t>
      </w:r>
      <w:r w:rsidR="004F2325">
        <w:t xml:space="preserve"> of “belief”, the first</w:t>
      </w:r>
      <w:r w:rsidR="002D0793">
        <w:t xml:space="preserve"> </w:t>
      </w:r>
      <w:r w:rsidR="004F2325">
        <w:t>described as passively</w:t>
      </w:r>
      <w:r w:rsidR="005351E0">
        <w:t xml:space="preserve"> assenting</w:t>
      </w:r>
      <w:r w:rsidR="004F2325">
        <w:t xml:space="preserve"> to appearances, the second as assenting to </w:t>
      </w:r>
      <w:r w:rsidR="002D0793">
        <w:t>unclear matter</w:t>
      </w:r>
      <w:r w:rsidR="004F2325">
        <w:t>s</w:t>
      </w:r>
      <w:r w:rsidR="002D0793">
        <w:t xml:space="preserve"> of investigation. </w:t>
      </w:r>
      <w:r w:rsidR="004F2325">
        <w:t>Only the former is available to the Skeptic. As an example</w:t>
      </w:r>
      <w:r>
        <w:t xml:space="preserve"> of the former</w:t>
      </w:r>
      <w:r w:rsidR="00C85988">
        <w:t xml:space="preserve">, </w:t>
      </w:r>
      <w:r w:rsidR="00800CAD">
        <w:t>Sextus noted</w:t>
      </w:r>
      <w:r w:rsidR="004F2325">
        <w:t xml:space="preserve"> </w:t>
      </w:r>
      <w:r w:rsidR="00C85988">
        <w:t>if a</w:t>
      </w:r>
      <w:r w:rsidR="004F2325">
        <w:t xml:space="preserve"> Skeptic has an appearance of being heated,</w:t>
      </w:r>
      <w:r w:rsidR="00B55DCD">
        <w:t xml:space="preserve"> the Skeptic will n</w:t>
      </w:r>
      <w:r w:rsidR="000D3794">
        <w:t>ot say “I think I am not heated,</w:t>
      </w:r>
      <w:r w:rsidR="00B55DCD">
        <w:t>”</w:t>
      </w:r>
      <w:r w:rsidR="00282C13">
        <w:t xml:space="preserve"> </w:t>
      </w:r>
      <w:r w:rsidR="000D3794">
        <w:t>t</w:t>
      </w:r>
      <w:r w:rsidR="004F2325">
        <w:t xml:space="preserve">he </w:t>
      </w:r>
      <w:r w:rsidR="001B1875">
        <w:t xml:space="preserve">tentative </w:t>
      </w:r>
      <w:r w:rsidR="004F2325">
        <w:t>implication being</w:t>
      </w:r>
      <w:r w:rsidR="009442CD">
        <w:t xml:space="preserve"> the Skeptic will</w:t>
      </w:r>
      <w:r w:rsidR="00282C13">
        <w:t xml:space="preserve"> be disposed to assent </w:t>
      </w:r>
      <w:r w:rsidR="004F2325">
        <w:t xml:space="preserve">to this appearance </w:t>
      </w:r>
      <w:r w:rsidR="00282C13">
        <w:t>by saying “I am heated.”</w:t>
      </w:r>
      <w:r w:rsidR="002D0793">
        <w:t xml:space="preserve"> </w:t>
      </w:r>
      <w:r w:rsidR="00B55DCD">
        <w:t>One might think this settle</w:t>
      </w:r>
      <w:r>
        <w:t>s the issue -</w:t>
      </w:r>
      <w:r w:rsidR="004F2325">
        <w:t xml:space="preserve"> there are </w:t>
      </w:r>
      <w:r>
        <w:t xml:space="preserve">two senses of belief; </w:t>
      </w:r>
      <w:r w:rsidR="004F2325">
        <w:t>Skept</w:t>
      </w:r>
      <w:r>
        <w:t>ics have beliefs in one sense. D</w:t>
      </w:r>
      <w:r w:rsidR="004F2325">
        <w:t xml:space="preserve">isputing this would be, perhaps, anachronistic quibbling over terminology. </w:t>
      </w:r>
      <w:r w:rsidR="00282C13">
        <w:t>P</w:t>
      </w:r>
      <w:r w:rsidR="004F2325">
        <w:t>utting mere</w:t>
      </w:r>
      <w:r w:rsidR="005351E0">
        <w:t xml:space="preserve"> terminological disputes aside, </w:t>
      </w:r>
      <w:r w:rsidR="00282C13">
        <w:t xml:space="preserve">however, </w:t>
      </w:r>
      <w:r w:rsidR="005351E0">
        <w:t xml:space="preserve">it is </w:t>
      </w:r>
      <w:r w:rsidR="00282C13">
        <w:t xml:space="preserve">still </w:t>
      </w:r>
      <w:r w:rsidR="005351E0">
        <w:t>not clear whether Sextus</w:t>
      </w:r>
      <w:r w:rsidR="00282C13">
        <w:t xml:space="preserve">, when considering </w:t>
      </w:r>
      <w:r w:rsidR="000D3794">
        <w:t>the first sense of belief</w:t>
      </w:r>
      <w:r w:rsidR="00282C13">
        <w:t>,</w:t>
      </w:r>
      <w:r w:rsidR="005351E0">
        <w:t xml:space="preserve"> means to say </w:t>
      </w:r>
      <w:r w:rsidR="002A4223">
        <w:t>Skeptics assent and</w:t>
      </w:r>
      <w:r w:rsidR="00282C13">
        <w:t xml:space="preserve"> thus </w:t>
      </w:r>
      <w:r w:rsidR="00282C13" w:rsidRPr="00022F1B">
        <w:rPr>
          <w:i/>
        </w:rPr>
        <w:t>believe</w:t>
      </w:r>
      <w:r w:rsidR="002A4223">
        <w:t xml:space="preserve">, or whether Skeptics assent but </w:t>
      </w:r>
      <w:r w:rsidR="002A4223" w:rsidRPr="00022F1B">
        <w:rPr>
          <w:i/>
        </w:rPr>
        <w:t>do not</w:t>
      </w:r>
      <w:r w:rsidR="002A4223">
        <w:t xml:space="preserve"> thereby </w:t>
      </w:r>
      <w:r w:rsidR="002A4223" w:rsidRPr="00022F1B">
        <w:rPr>
          <w:i/>
        </w:rPr>
        <w:t>belie</w:t>
      </w:r>
      <w:r w:rsidR="0054512D" w:rsidRPr="00022F1B">
        <w:rPr>
          <w:i/>
        </w:rPr>
        <w:t>ve</w:t>
      </w:r>
      <w:r w:rsidR="0054512D">
        <w:t xml:space="preserve">. </w:t>
      </w:r>
      <w:r>
        <w:t>This is, in fact,</w:t>
      </w:r>
      <w:r w:rsidR="004F2325">
        <w:t xml:space="preserve"> a hotly contested question.</w:t>
      </w:r>
      <w:r w:rsidR="002A4223">
        <w:t xml:space="preserve"> </w:t>
      </w:r>
      <w:r w:rsidR="004F2325">
        <w:t>Three positions have emerged</w:t>
      </w:r>
      <w:r w:rsidR="001B1875">
        <w:t xml:space="preserve"> among contemporary scholars</w:t>
      </w:r>
      <w:r w:rsidR="009442CD">
        <w:t xml:space="preserve">: </w:t>
      </w:r>
      <w:r w:rsidR="00307391">
        <w:t>Skeptic</w:t>
      </w:r>
      <w:r w:rsidR="004F2325">
        <w:t>s lacked any beliefs;</w:t>
      </w:r>
      <w:r w:rsidR="004F2325">
        <w:rPr>
          <w:rStyle w:val="FootnoteReference"/>
        </w:rPr>
        <w:footnoteReference w:id="13"/>
      </w:r>
      <w:r w:rsidR="00307391">
        <w:t xml:space="preserve"> Skeptics had beliefs ab</w:t>
      </w:r>
      <w:r w:rsidR="004F2325">
        <w:t>out appearances only;</w:t>
      </w:r>
      <w:r w:rsidR="004F2325">
        <w:rPr>
          <w:rStyle w:val="FootnoteReference"/>
        </w:rPr>
        <w:footnoteReference w:id="14"/>
      </w:r>
      <w:r w:rsidR="00B51581">
        <w:t xml:space="preserve"> Skeptics had beliefs about appearances and</w:t>
      </w:r>
      <w:r w:rsidR="004F2325">
        <w:t xml:space="preserve"> more besides</w:t>
      </w:r>
      <w:r w:rsidR="00307391">
        <w:t>.</w:t>
      </w:r>
      <w:r w:rsidR="001F4168">
        <w:rPr>
          <w:rStyle w:val="FootnoteReference"/>
        </w:rPr>
        <w:footnoteReference w:id="15"/>
      </w:r>
      <w:r w:rsidR="00307391">
        <w:t xml:space="preserve"> </w:t>
      </w:r>
    </w:p>
    <w:p w14:paraId="22F2386F" w14:textId="1BAFB8BC" w:rsidR="00282C13" w:rsidRDefault="00022F1B" w:rsidP="007D30AB">
      <w:pPr>
        <w:spacing w:line="480" w:lineRule="auto"/>
      </w:pPr>
      <w:r>
        <w:tab/>
        <w:t>We focus</w:t>
      </w:r>
      <w:r w:rsidR="009442CD">
        <w:t xml:space="preserve"> in</w:t>
      </w:r>
      <w:r>
        <w:t xml:space="preserve"> what follows on</w:t>
      </w:r>
      <w:r w:rsidR="001F4168">
        <w:t xml:space="preserve"> the last of these </w:t>
      </w:r>
      <w:r w:rsidR="002A50BD">
        <w:t xml:space="preserve">three </w:t>
      </w:r>
      <w:r w:rsidR="001F4168">
        <w:t>positions. More specifically</w:t>
      </w:r>
      <w:r w:rsidR="00282C13">
        <w:t xml:space="preserve">, in </w:t>
      </w:r>
      <w:r w:rsidR="00282C13" w:rsidRPr="00282C13">
        <w:rPr>
          <w:b/>
        </w:rPr>
        <w:t>Section 1</w:t>
      </w:r>
      <w:r w:rsidR="00282C13">
        <w:t xml:space="preserve"> we</w:t>
      </w:r>
      <w:r w:rsidR="00307391">
        <w:t xml:space="preserve"> examine an interpretation of Sextus’s Skepti</w:t>
      </w:r>
      <w:r w:rsidR="00B51581">
        <w:t>cism offered by Michael Frede</w:t>
      </w:r>
      <w:r w:rsidR="001F4168">
        <w:t xml:space="preserve"> i</w:t>
      </w:r>
      <w:r w:rsidR="007D30AB">
        <w:t>n which Skeptics</w:t>
      </w:r>
      <w:r w:rsidR="00307391">
        <w:t xml:space="preserve"> </w:t>
      </w:r>
      <w:r w:rsidR="007D30AB">
        <w:t xml:space="preserve">may </w:t>
      </w:r>
      <w:r w:rsidR="00307391">
        <w:t>have beliefs as long as they are not grounded in reasoning or argumentation. Frede’s proposal</w:t>
      </w:r>
      <w:r w:rsidR="001F4168">
        <w:t xml:space="preserve"> secures many commonsense</w:t>
      </w:r>
      <w:r w:rsidR="007604FB">
        <w:t xml:space="preserve"> belie</w:t>
      </w:r>
      <w:r w:rsidR="002A50BD">
        <w:t>fs for the Skeptic, offering</w:t>
      </w:r>
      <w:r w:rsidR="007604FB">
        <w:t xml:space="preserve"> a </w:t>
      </w:r>
      <w:r w:rsidR="002A4223">
        <w:t>powerful response to the apraxia objection</w:t>
      </w:r>
      <w:r w:rsidR="001F4168">
        <w:t xml:space="preserve">. That </w:t>
      </w:r>
      <w:r w:rsidR="002A50BD">
        <w:t xml:space="preserve">said, Frede’s interpretation suffers from </w:t>
      </w:r>
      <w:r w:rsidR="00800CAD">
        <w:t xml:space="preserve">various </w:t>
      </w:r>
      <w:r w:rsidR="002A50BD">
        <w:t>problems</w:t>
      </w:r>
      <w:r w:rsidR="001F4168">
        <w:t>, which we examine in detail.</w:t>
      </w:r>
      <w:r w:rsidR="00282C13">
        <w:t xml:space="preserve"> </w:t>
      </w:r>
      <w:r w:rsidR="006868A7">
        <w:t xml:space="preserve">In </w:t>
      </w:r>
      <w:r w:rsidR="006868A7" w:rsidRPr="006868A7">
        <w:rPr>
          <w:b/>
        </w:rPr>
        <w:t>Section 2</w:t>
      </w:r>
      <w:r w:rsidR="006868A7">
        <w:t>, w</w:t>
      </w:r>
      <w:r w:rsidR="00307391">
        <w:t xml:space="preserve">e </w:t>
      </w:r>
      <w:r w:rsidR="001F4168">
        <w:t xml:space="preserve">inspect whether the resources of a particular </w:t>
      </w:r>
      <w:r w:rsidR="0077786B">
        <w:t>deflationary</w:t>
      </w:r>
      <w:r w:rsidR="001F4168">
        <w:t xml:space="preserve"> theory of truth can</w:t>
      </w:r>
      <w:r w:rsidR="007604FB">
        <w:t xml:space="preserve"> mitigate complaints against Frede</w:t>
      </w:r>
      <w:r w:rsidR="006868A7">
        <w:t xml:space="preserve">. </w:t>
      </w:r>
      <w:r w:rsidR="00800CAD">
        <w:t>Scrutiny</w:t>
      </w:r>
      <w:r w:rsidR="001F4168">
        <w:t>, however, re</w:t>
      </w:r>
      <w:r w:rsidR="003058A5">
        <w:t>veals such attempted mitigation brings more trouble than it is worth. W</w:t>
      </w:r>
      <w:r w:rsidR="00800CAD">
        <w:t xml:space="preserve">e </w:t>
      </w:r>
      <w:r w:rsidR="00F30E24">
        <w:t>end leaving Fre</w:t>
      </w:r>
      <w:r w:rsidR="003058A5">
        <w:t>de’s proposal little better</w:t>
      </w:r>
      <w:r w:rsidR="00F30E24">
        <w:t xml:space="preserve"> than when we found it. </w:t>
      </w:r>
    </w:p>
    <w:p w14:paraId="0C8E4CA2" w14:textId="493B2DB1" w:rsidR="002D0793" w:rsidRPr="002B4CEE" w:rsidRDefault="002B4CEE" w:rsidP="007D30AB">
      <w:pPr>
        <w:spacing w:line="480" w:lineRule="auto"/>
        <w:jc w:val="center"/>
        <w:rPr>
          <w:b/>
        </w:rPr>
      </w:pPr>
      <w:r w:rsidRPr="002B4CEE">
        <w:rPr>
          <w:b/>
        </w:rPr>
        <w:lastRenderedPageBreak/>
        <w:t>Section 1: Setting the</w:t>
      </w:r>
      <w:r w:rsidR="00C01B9B">
        <w:rPr>
          <w:b/>
        </w:rPr>
        <w:t xml:space="preserve"> Stage</w:t>
      </w:r>
    </w:p>
    <w:p w14:paraId="52CA096F" w14:textId="40E090C4" w:rsidR="006C56B6" w:rsidRDefault="006C56B6" w:rsidP="007D30AB">
      <w:pPr>
        <w:spacing w:line="480" w:lineRule="auto"/>
      </w:pPr>
      <w:r>
        <w:t xml:space="preserve">In this section, </w:t>
      </w:r>
      <w:r w:rsidR="001F4168">
        <w:t>we</w:t>
      </w:r>
      <w:r>
        <w:t xml:space="preserve"> </w:t>
      </w:r>
      <w:r w:rsidR="006868A7">
        <w:t>fix</w:t>
      </w:r>
      <w:r>
        <w:t xml:space="preserve"> terminology and </w:t>
      </w:r>
      <w:r w:rsidR="006868A7">
        <w:t xml:space="preserve">establish </w:t>
      </w:r>
      <w:r>
        <w:t>simplifying assumptions</w:t>
      </w:r>
      <w:r w:rsidR="006868A7">
        <w:t xml:space="preserve"> for our discussion</w:t>
      </w:r>
      <w:r>
        <w:t xml:space="preserve">. </w:t>
      </w:r>
      <w:r w:rsidR="001F4168">
        <w:t>We</w:t>
      </w:r>
      <w:r w:rsidR="006868A7">
        <w:t xml:space="preserve"> then isolate two theses framing contemporary debates over whether Skeptics had beliefs. </w:t>
      </w:r>
      <w:r>
        <w:t xml:space="preserve"> </w:t>
      </w:r>
    </w:p>
    <w:p w14:paraId="0F4E27D0" w14:textId="50E06988" w:rsidR="006C56B6" w:rsidRPr="006C56B6" w:rsidRDefault="006C56B6" w:rsidP="007D30AB">
      <w:pPr>
        <w:spacing w:line="480" w:lineRule="auto"/>
        <w:rPr>
          <w:i/>
        </w:rPr>
      </w:pPr>
      <w:r w:rsidRPr="006C56B6">
        <w:rPr>
          <w:i/>
        </w:rPr>
        <w:t>Fixing Terminology and Assumptions</w:t>
      </w:r>
    </w:p>
    <w:p w14:paraId="0D7E0615" w14:textId="482CBB1F" w:rsidR="001D7A5D" w:rsidRDefault="002B4CEE" w:rsidP="006A68DA">
      <w:pPr>
        <w:spacing w:line="480" w:lineRule="auto"/>
      </w:pPr>
      <w:r>
        <w:t>W</w:t>
      </w:r>
      <w:r w:rsidR="001F4168">
        <w:t>e</w:t>
      </w:r>
      <w:r w:rsidR="001D7A5D">
        <w:t xml:space="preserve"> make use of a neutral notion of </w:t>
      </w:r>
      <w:r w:rsidR="001D7A5D">
        <w:rPr>
          <w:i/>
        </w:rPr>
        <w:t>content</w:t>
      </w:r>
      <w:r w:rsidR="001D7A5D">
        <w:t xml:space="preserve">. A common example of content in contemporary circles is (declarative) </w:t>
      </w:r>
      <w:r w:rsidR="001D7A5D">
        <w:rPr>
          <w:i/>
        </w:rPr>
        <w:t>sentence</w:t>
      </w:r>
      <w:r w:rsidR="001D7A5D">
        <w:t xml:space="preserve"> </w:t>
      </w:r>
      <w:r w:rsidR="001D7A5D">
        <w:rPr>
          <w:i/>
        </w:rPr>
        <w:t>content</w:t>
      </w:r>
      <w:r w:rsidR="001F4168">
        <w:t>, e.g. proposition. Relatedly, we</w:t>
      </w:r>
      <w:r w:rsidR="00832638">
        <w:t xml:space="preserve"> assume</w:t>
      </w:r>
      <w:r>
        <w:t xml:space="preserve"> a distinction between sentences – </w:t>
      </w:r>
      <w:r w:rsidR="00B51581">
        <w:t>linguistic items – and content</w:t>
      </w:r>
      <w:r w:rsidR="001D7A5D">
        <w:t>,</w:t>
      </w:r>
      <w:r w:rsidR="00B51581">
        <w:t xml:space="preserve"> e.g.</w:t>
      </w:r>
      <w:r w:rsidR="001D7A5D">
        <w:t xml:space="preserve"> “Honey is sweet” is a sentence an agent may be disposed to use to express a proposition</w:t>
      </w:r>
      <w:r w:rsidR="009D6099">
        <w:t xml:space="preserve"> p</w:t>
      </w:r>
      <w:r>
        <w:t>.</w:t>
      </w:r>
      <w:r w:rsidR="007604FB">
        <w:rPr>
          <w:rStyle w:val="FootnoteReference"/>
        </w:rPr>
        <w:footnoteReference w:id="16"/>
      </w:r>
      <w:r>
        <w:t xml:space="preserve"> </w:t>
      </w:r>
      <w:proofErr w:type="gramStart"/>
      <w:r w:rsidR="001D7A5D">
        <w:t>Though</w:t>
      </w:r>
      <w:proofErr w:type="gramEnd"/>
      <w:r w:rsidR="001D7A5D">
        <w:t xml:space="preserve"> propositions are a common species of content, they do not exhaust the genus. Perceptions too have content, e.g. perceptual content; thoughts more generally have content, e.g. intellectual content. Concerning both, it is harmless to characterize them b</w:t>
      </w:r>
      <w:r w:rsidR="00B51581">
        <w:t>y appealing to linguistic items</w:t>
      </w:r>
      <w:r w:rsidR="001D7A5D">
        <w:t xml:space="preserve"> as</w:t>
      </w:r>
      <w:r>
        <w:t xml:space="preserve"> we have with propositions</w:t>
      </w:r>
      <w:r w:rsidR="001D7A5D">
        <w:t>. For example, to characterize John perceives honey is swe</w:t>
      </w:r>
      <w:r w:rsidR="001F4168">
        <w:t>et, we</w:t>
      </w:r>
      <w:r w:rsidR="009D6099">
        <w:t xml:space="preserve"> say John has perceptual content</w:t>
      </w:r>
      <w:r w:rsidR="001D7A5D">
        <w:t xml:space="preserve"> he might be disposed to describe with the sentence “Honey is sweet.” Similarly, if John finds a particular argument persuasive, we might capture this </w:t>
      </w:r>
      <w:r w:rsidR="009D6099">
        <w:t>by saying John has intellectual content</w:t>
      </w:r>
      <w:r w:rsidR="001D7A5D">
        <w:t xml:space="preserve"> he might be disposed to describe with the sentence “That argument is persuasive.” </w:t>
      </w:r>
      <w:r w:rsidR="002A50BD">
        <w:t>Additionally</w:t>
      </w:r>
      <w:r w:rsidR="00B51581">
        <w:t xml:space="preserve">, since </w:t>
      </w:r>
      <w:r w:rsidR="001D7A5D">
        <w:t>Sextus distinguishes “is” and “appears” sentences, e.g. “Honey is swee</w:t>
      </w:r>
      <w:r w:rsidR="00B51581">
        <w:t>t” vs. “Honey appears sweet,”</w:t>
      </w:r>
      <w:r w:rsidR="00B05C61">
        <w:rPr>
          <w:rStyle w:val="FootnoteReference"/>
        </w:rPr>
        <w:footnoteReference w:id="17"/>
      </w:r>
      <w:r w:rsidR="00B51581">
        <w:t xml:space="preserve"> for </w:t>
      </w:r>
      <w:r w:rsidR="002A50BD">
        <w:t>clarity</w:t>
      </w:r>
      <w:r w:rsidR="00B51581">
        <w:t xml:space="preserve"> we treat these as</w:t>
      </w:r>
      <w:r w:rsidR="001D7A5D">
        <w:t xml:space="preserve"> distinct sentences expressing di</w:t>
      </w:r>
      <w:r w:rsidR="00803B59">
        <w:t>stinct contents, whether propositional</w:t>
      </w:r>
      <w:r w:rsidR="001D7A5D">
        <w:t>, perc</w:t>
      </w:r>
      <w:r w:rsidR="00B05C61">
        <w:t>eptual, or intellectual</w:t>
      </w:r>
      <w:r w:rsidR="001D7A5D">
        <w:t>.</w:t>
      </w:r>
      <w:r w:rsidR="002A50BD">
        <w:rPr>
          <w:rStyle w:val="FootnoteReference"/>
        </w:rPr>
        <w:footnoteReference w:id="18"/>
      </w:r>
      <w:r w:rsidR="001D7A5D">
        <w:t xml:space="preserve"> </w:t>
      </w:r>
    </w:p>
    <w:p w14:paraId="2DEC83D2" w14:textId="10F46330" w:rsidR="003256B9" w:rsidRDefault="00FC4CC4" w:rsidP="006A68DA">
      <w:pPr>
        <w:spacing w:line="480" w:lineRule="auto"/>
        <w:ind w:firstLine="720"/>
      </w:pPr>
      <w:r>
        <w:t>To avoid</w:t>
      </w:r>
      <w:r w:rsidR="002B4CEE">
        <w:t xml:space="preserve"> imposing </w:t>
      </w:r>
      <w:r w:rsidR="0018756A">
        <w:t>views on the Skeptics</w:t>
      </w:r>
      <w:r w:rsidR="002A50BD">
        <w:t>, we</w:t>
      </w:r>
      <w:r>
        <w:t xml:space="preserve"> remain somewhat neutral</w:t>
      </w:r>
      <w:r w:rsidR="002B4CEE">
        <w:t xml:space="preserve"> </w:t>
      </w:r>
      <w:r>
        <w:t xml:space="preserve">over </w:t>
      </w:r>
      <w:r w:rsidR="001B1875">
        <w:t xml:space="preserve">what </w:t>
      </w:r>
      <w:r w:rsidR="002B4CEE">
        <w:t xml:space="preserve">“belief” </w:t>
      </w:r>
      <w:r w:rsidR="00B05C61">
        <w:t>and “assent”</w:t>
      </w:r>
      <w:r w:rsidR="001B1875">
        <w:t xml:space="preserve"> respectively denote.</w:t>
      </w:r>
      <w:r w:rsidR="00C72E87">
        <w:t xml:space="preserve"> </w:t>
      </w:r>
      <w:r w:rsidR="002A50BD">
        <w:t>Still</w:t>
      </w:r>
      <w:r>
        <w:t>, some restrictio</w:t>
      </w:r>
      <w:r w:rsidR="002A50BD">
        <w:t>ns seem permissible</w:t>
      </w:r>
      <w:r>
        <w:t>,</w:t>
      </w:r>
      <w:r w:rsidR="002A50BD">
        <w:t xml:space="preserve"> e.g.</w:t>
      </w:r>
      <w:r>
        <w:t xml:space="preserve"> we put aside both implicit beliefs and degrees of belief</w:t>
      </w:r>
      <w:r w:rsidR="001D7A5D">
        <w:t>. Moreover, belief will be understood as a (mental) state</w:t>
      </w:r>
      <w:r w:rsidR="00C72E87">
        <w:t xml:space="preserve"> rather than a process.</w:t>
      </w:r>
      <w:r>
        <w:rPr>
          <w:rStyle w:val="FootnoteReference"/>
        </w:rPr>
        <w:footnoteReference w:id="19"/>
      </w:r>
      <w:r w:rsidR="00C72E87">
        <w:t xml:space="preserve"> </w:t>
      </w:r>
      <w:r w:rsidR="00861766">
        <w:t>B</w:t>
      </w:r>
      <w:r w:rsidR="001D7A5D">
        <w:t xml:space="preserve">y </w:t>
      </w:r>
      <w:r w:rsidR="001D7A5D" w:rsidRPr="00861766">
        <w:t>assent</w:t>
      </w:r>
      <w:r w:rsidR="001D7A5D">
        <w:t xml:space="preserve"> we </w:t>
      </w:r>
      <w:r w:rsidR="002A50BD">
        <w:t>mean an</w:t>
      </w:r>
      <w:r w:rsidR="001D7A5D">
        <w:t xml:space="preserve"> evaluation of content</w:t>
      </w:r>
      <w:r>
        <w:t>. Assent</w:t>
      </w:r>
      <w:r w:rsidR="002A50BD">
        <w:t xml:space="preserve"> often implies evaluating as </w:t>
      </w:r>
      <w:r w:rsidR="002A50BD">
        <w:lastRenderedPageBreak/>
        <w:t>true</w:t>
      </w:r>
      <w:r w:rsidR="001D7A5D">
        <w:t xml:space="preserve">. </w:t>
      </w:r>
      <w:r w:rsidR="00973F6B">
        <w:t xml:space="preserve">For example, if John assents </w:t>
      </w:r>
      <w:proofErr w:type="spellStart"/>
      <w:r w:rsidR="00973F6B">
        <w:t>to p</w:t>
      </w:r>
      <w:proofErr w:type="spellEnd"/>
      <w:r w:rsidR="00973F6B">
        <w:t xml:space="preserve">, John is often understood to take p as true. </w:t>
      </w:r>
      <w:r>
        <w:t>We do not</w:t>
      </w:r>
      <w:r w:rsidR="001B1875">
        <w:t>, however, assume</w:t>
      </w:r>
      <w:r>
        <w:t xml:space="preserve"> this here, since assent thus understood</w:t>
      </w:r>
      <w:r w:rsidR="00973F6B">
        <w:t xml:space="preserve"> appears to trade on whether </w:t>
      </w:r>
      <w:r>
        <w:t>it</w:t>
      </w:r>
      <w:r w:rsidR="00973F6B">
        <w:t xml:space="preserve"> is v</w:t>
      </w:r>
      <w:r>
        <w:t>oluntary or involuntary. Dogmatists</w:t>
      </w:r>
      <w:r w:rsidR="00973F6B">
        <w:t xml:space="preserve"> treat assent as voluntary.</w:t>
      </w:r>
      <w:r w:rsidR="00BA02EC">
        <w:rPr>
          <w:rStyle w:val="FootnoteReference"/>
        </w:rPr>
        <w:footnoteReference w:id="20"/>
      </w:r>
      <w:r w:rsidR="00973F6B">
        <w:t xml:space="preserve"> </w:t>
      </w:r>
      <w:r>
        <w:t>For this school</w:t>
      </w:r>
      <w:r w:rsidR="00BA02EC">
        <w:t>, impressions generate desires, but action depends</w:t>
      </w:r>
      <w:r w:rsidR="0083602E">
        <w:t xml:space="preserve"> on assenting to impressions</w:t>
      </w:r>
      <w:r w:rsidR="00BA02EC">
        <w:t>.</w:t>
      </w:r>
      <w:r>
        <w:rPr>
          <w:rStyle w:val="FootnoteReference"/>
        </w:rPr>
        <w:footnoteReference w:id="21"/>
      </w:r>
      <w:r w:rsidR="00BA02EC">
        <w:t xml:space="preserve"> </w:t>
      </w:r>
      <w:r w:rsidR="00803B59">
        <w:t>Plausibly</w:t>
      </w:r>
      <w:r w:rsidR="0083602E">
        <w:t>, voluntarily</w:t>
      </w:r>
      <w:r w:rsidR="005351E0">
        <w:t xml:space="preserve"> assenting is evaluating as true</w:t>
      </w:r>
      <w:r w:rsidR="00C076BB">
        <w:t xml:space="preserve"> for Dogmatists</w:t>
      </w:r>
      <w:r w:rsidR="005351E0">
        <w:t>.</w:t>
      </w:r>
      <w:r w:rsidR="005351E0">
        <w:rPr>
          <w:rStyle w:val="FootnoteReference"/>
        </w:rPr>
        <w:footnoteReference w:id="22"/>
      </w:r>
      <w:r w:rsidR="005351E0">
        <w:t xml:space="preserve"> </w:t>
      </w:r>
      <w:r w:rsidR="00BA02EC">
        <w:t>In con</w:t>
      </w:r>
      <w:r w:rsidR="0083602E">
        <w:t xml:space="preserve">trast, </w:t>
      </w:r>
      <w:r w:rsidR="00BA02EC">
        <w:t xml:space="preserve">Skeptics do not </w:t>
      </w:r>
      <w:r w:rsidR="0083602E">
        <w:t xml:space="preserve">seem to </w:t>
      </w:r>
      <w:r w:rsidR="00BA02EC">
        <w:t>share this d</w:t>
      </w:r>
      <w:r w:rsidR="00440AA0">
        <w:t xml:space="preserve">ependency of action on </w:t>
      </w:r>
      <w:r w:rsidR="00803B59">
        <w:t xml:space="preserve">voluntary </w:t>
      </w:r>
      <w:r w:rsidR="00440AA0">
        <w:t>assent</w:t>
      </w:r>
      <w:r w:rsidR="00BA02EC">
        <w:t>.</w:t>
      </w:r>
      <w:r w:rsidR="00440AA0">
        <w:rPr>
          <w:rStyle w:val="FootnoteReference"/>
        </w:rPr>
        <w:footnoteReference w:id="23"/>
      </w:r>
      <w:r w:rsidR="002A50BD">
        <w:t xml:space="preserve"> Skeptics may</w:t>
      </w:r>
      <w:r w:rsidR="00C076BB">
        <w:t xml:space="preserve"> involuntarily assent to appearances</w:t>
      </w:r>
      <w:r w:rsidR="00803B59">
        <w:t>, a</w:t>
      </w:r>
      <w:r w:rsidR="0083602E">
        <w:t>nd</w:t>
      </w:r>
      <w:r w:rsidR="00803B59">
        <w:t xml:space="preserve"> </w:t>
      </w:r>
      <w:r w:rsidR="0083602E">
        <w:t xml:space="preserve">yet </w:t>
      </w:r>
      <w:r w:rsidR="00803B59">
        <w:t>act</w:t>
      </w:r>
      <w:r w:rsidR="00C076BB">
        <w:t>.</w:t>
      </w:r>
      <w:r w:rsidR="0083602E">
        <w:t xml:space="preserve"> But</w:t>
      </w:r>
      <w:r w:rsidR="00803B59">
        <w:t xml:space="preserve"> i</w:t>
      </w:r>
      <w:r w:rsidR="005351E0">
        <w:t xml:space="preserve">t is not obvious involuntarily assenting </w:t>
      </w:r>
      <w:proofErr w:type="spellStart"/>
      <w:r w:rsidR="005351E0">
        <w:t>to p</w:t>
      </w:r>
      <w:proofErr w:type="spellEnd"/>
      <w:r w:rsidR="005351E0">
        <w:t xml:space="preserve"> requires evaluating p as true. </w:t>
      </w:r>
      <w:r w:rsidR="00C076BB">
        <w:t xml:space="preserve">For these reasons, we leave open whether one may assent </w:t>
      </w:r>
      <w:proofErr w:type="spellStart"/>
      <w:r w:rsidR="00C076BB">
        <w:t>to p</w:t>
      </w:r>
      <w:proofErr w:type="spellEnd"/>
      <w:r w:rsidR="00C076BB">
        <w:t xml:space="preserve"> without taking p to be true. </w:t>
      </w:r>
      <w:r w:rsidR="001767F4">
        <w:t>Additionally, we</w:t>
      </w:r>
      <w:r w:rsidR="001D7A5D">
        <w:t xml:space="preserve"> assume assent is an action, and so a </w:t>
      </w:r>
      <w:r w:rsidR="00C72E87">
        <w:t xml:space="preserve">(perhaps short) </w:t>
      </w:r>
      <w:r w:rsidR="005351E0">
        <w:t>process.</w:t>
      </w:r>
      <w:r w:rsidR="00B05C61">
        <w:rPr>
          <w:rStyle w:val="FootnoteReference"/>
        </w:rPr>
        <w:footnoteReference w:id="24"/>
      </w:r>
    </w:p>
    <w:p w14:paraId="33B57568" w14:textId="6B4E6F49" w:rsidR="00280B9D" w:rsidRPr="006C56B6" w:rsidRDefault="00E20576" w:rsidP="006A68DA">
      <w:pPr>
        <w:spacing w:line="480" w:lineRule="auto"/>
        <w:rPr>
          <w:i/>
        </w:rPr>
      </w:pPr>
      <w:r>
        <w:rPr>
          <w:i/>
        </w:rPr>
        <w:t xml:space="preserve">Two Theses </w:t>
      </w:r>
    </w:p>
    <w:p w14:paraId="353C4EB0" w14:textId="066E8950" w:rsidR="00634B35" w:rsidRDefault="00803B59" w:rsidP="006A68DA">
      <w:pPr>
        <w:spacing w:line="480" w:lineRule="auto"/>
      </w:pPr>
      <w:r>
        <w:t>Here</w:t>
      </w:r>
      <w:r w:rsidR="007E7893">
        <w:t>, in anticipation of introducing Frede’s proposal,</w:t>
      </w:r>
      <w:r>
        <w:t xml:space="preserve"> we isolate two theses common among scholars examining whether Skeptics had beliefs</w:t>
      </w:r>
      <w:r w:rsidR="007E7893">
        <w:t>, and identify which Frede accepts/rejects</w:t>
      </w:r>
      <w:r>
        <w:t xml:space="preserve">. </w:t>
      </w:r>
      <w:r w:rsidR="00D55718">
        <w:t>First, consider b</w:t>
      </w:r>
      <w:r w:rsidR="00280B9D">
        <w:t>elie</w:t>
      </w:r>
      <w:r w:rsidR="00E20576">
        <w:t>f is intuitively truth-directed, i.e.</w:t>
      </w:r>
      <w:r w:rsidR="00634B35">
        <w:t xml:space="preserve"> if agent S believes proposition p, then S b</w:t>
      </w:r>
      <w:r w:rsidR="00E20576">
        <w:t>elieves p is true. Thi</w:t>
      </w:r>
      <w:r w:rsidR="004F15A8">
        <w:t>s may be motivated by noting the</w:t>
      </w:r>
      <w:r w:rsidR="00634B35">
        <w:t xml:space="preserve"> infelicity of </w:t>
      </w:r>
      <w:r w:rsidR="004F15A8">
        <w:t>expressions such as:</w:t>
      </w:r>
      <w:r w:rsidR="00634B35">
        <w:t xml:space="preserve"> “</w:t>
      </w:r>
      <w:r w:rsidR="0022008B">
        <w:t>It’s not</w:t>
      </w:r>
      <w:r w:rsidR="00B1779D">
        <w:t xml:space="preserve"> raining but I believe it’s raining</w:t>
      </w:r>
      <w:r w:rsidR="00634B35">
        <w:t>.</w:t>
      </w:r>
      <w:r w:rsidR="00B1779D">
        <w:t>”</w:t>
      </w:r>
      <w:r w:rsidR="0022008B">
        <w:t xml:space="preserve"> </w:t>
      </w:r>
      <w:r w:rsidR="004F15A8">
        <w:t xml:space="preserve">Such an utterance would suggest the speaker is confused. </w:t>
      </w:r>
      <w:r w:rsidR="0022008B">
        <w:t>A plau</w:t>
      </w:r>
      <w:r w:rsidR="004F15A8">
        <w:t>sible way of characterizing the</w:t>
      </w:r>
      <w:r w:rsidR="0022008B">
        <w:t xml:space="preserve"> relationship </w:t>
      </w:r>
      <w:r w:rsidR="004F15A8">
        <w:t>between belief and truth is in terms of constitutive entailment</w:t>
      </w:r>
      <w:r w:rsidR="0022008B">
        <w:t xml:space="preserve">, where </w:t>
      </w:r>
      <w:r w:rsidR="0022008B">
        <w:lastRenderedPageBreak/>
        <w:t>x</w:t>
      </w:r>
      <w:r w:rsidR="003256B9">
        <w:t xml:space="preserve"> </w:t>
      </w:r>
      <w:r w:rsidR="003256B9">
        <w:rPr>
          <w:i/>
        </w:rPr>
        <w:t xml:space="preserve">constitutively </w:t>
      </w:r>
      <w:r w:rsidR="003256B9" w:rsidRPr="003256B9">
        <w:rPr>
          <w:i/>
        </w:rPr>
        <w:t>entails</w:t>
      </w:r>
      <w:r w:rsidR="0022008B">
        <w:t xml:space="preserve"> y just in case action/</w:t>
      </w:r>
      <w:r w:rsidR="003256B9">
        <w:t>st</w:t>
      </w:r>
      <w:r w:rsidR="0022008B">
        <w:t>ate y involves action/state x as a constituent part</w:t>
      </w:r>
      <w:r w:rsidR="003256B9">
        <w:t>.</w:t>
      </w:r>
      <w:r w:rsidR="0022008B">
        <w:rPr>
          <w:rStyle w:val="FootnoteReference"/>
        </w:rPr>
        <w:footnoteReference w:id="25"/>
      </w:r>
      <w:r w:rsidR="003256B9">
        <w:t xml:space="preserve"> </w:t>
      </w:r>
      <w:r w:rsidR="004F15A8">
        <w:t>In other words</w:t>
      </w:r>
      <w:r w:rsidR="003256B9">
        <w:t>, the</w:t>
      </w:r>
      <w:r w:rsidR="0022008B">
        <w:t xml:space="preserve"> belief state that p constitutively entails</w:t>
      </w:r>
      <w:r w:rsidR="003256B9">
        <w:t xml:space="preserve"> the belief state that p is true.</w:t>
      </w:r>
      <w:r w:rsidR="0018756A">
        <w:rPr>
          <w:rStyle w:val="FootnoteReference"/>
        </w:rPr>
        <w:footnoteReference w:id="26"/>
      </w:r>
      <w:r w:rsidR="003256B9">
        <w:t xml:space="preserve"> </w:t>
      </w:r>
      <w:r w:rsidR="00634B35">
        <w:t>In symbols:</w:t>
      </w:r>
      <w:r w:rsidR="00634B35">
        <w:rPr>
          <w:rStyle w:val="FootnoteReference"/>
        </w:rPr>
        <w:footnoteReference w:id="27"/>
      </w:r>
      <w:r w:rsidR="00634B35">
        <w:t xml:space="preserve"> </w:t>
      </w:r>
    </w:p>
    <w:p w14:paraId="65A37D44" w14:textId="77777777" w:rsidR="00634B35" w:rsidRPr="002D30FA" w:rsidRDefault="00634B35" w:rsidP="006A68DA">
      <w:pPr>
        <w:pStyle w:val="ListParagraph"/>
        <w:numPr>
          <w:ilvl w:val="0"/>
          <w:numId w:val="3"/>
        </w:numPr>
        <w:spacing w:line="480" w:lineRule="auto"/>
      </w:pPr>
      <w:r>
        <w:t>S BEL p |- S BEL T(p)</w:t>
      </w:r>
    </w:p>
    <w:p w14:paraId="2ECFE604" w14:textId="1A1852F9" w:rsidR="0022008B" w:rsidRDefault="004F15A8" w:rsidP="006A68DA">
      <w:pPr>
        <w:spacing w:line="480" w:lineRule="auto"/>
      </w:pPr>
      <w:r>
        <w:t>Is it accurate to describe Skeptics as adopting, perhaps implicit</w:t>
      </w:r>
      <w:r w:rsidR="00C076BB">
        <w:t>ly, (1)? Many scholars claim so.</w:t>
      </w:r>
      <w:r>
        <w:rPr>
          <w:rStyle w:val="FootnoteReference"/>
        </w:rPr>
        <w:footnoteReference w:id="28"/>
      </w:r>
      <w:r>
        <w:t xml:space="preserve"> </w:t>
      </w:r>
      <w:r w:rsidR="00803B59">
        <w:t>As we will see however</w:t>
      </w:r>
      <w:r w:rsidR="00C076BB">
        <w:t xml:space="preserve">, </w:t>
      </w:r>
      <w:r>
        <w:t>Frede is not among</w:t>
      </w:r>
      <w:r w:rsidR="0083602E">
        <w:t xml:space="preserve"> them.</w:t>
      </w:r>
      <w:r w:rsidR="0022008B">
        <w:t xml:space="preserve"> </w:t>
      </w:r>
      <w:r w:rsidR="0083602E">
        <w:t>F</w:t>
      </w:r>
      <w:r w:rsidR="000C492D">
        <w:t xml:space="preserve">or Frede, believing p does not constitutively entail believing p is true. </w:t>
      </w:r>
      <w:r>
        <w:t xml:space="preserve">We return to this below. </w:t>
      </w:r>
    </w:p>
    <w:p w14:paraId="234D9264" w14:textId="329ED910" w:rsidR="006B11EB" w:rsidRDefault="00D55718" w:rsidP="006A68DA">
      <w:pPr>
        <w:spacing w:line="480" w:lineRule="auto"/>
        <w:ind w:firstLine="720"/>
      </w:pPr>
      <w:r>
        <w:t>Second, a</w:t>
      </w:r>
      <w:r w:rsidR="004F15A8">
        <w:t xml:space="preserve">ssent intuitively involves belief. </w:t>
      </w:r>
      <w:r w:rsidR="00634B35">
        <w:t xml:space="preserve">Plausibly, if S assents </w:t>
      </w:r>
      <w:proofErr w:type="spellStart"/>
      <w:r w:rsidR="00634B35">
        <w:t xml:space="preserve">to </w:t>
      </w:r>
      <w:r w:rsidR="000C492D">
        <w:t>p</w:t>
      </w:r>
      <w:proofErr w:type="spellEnd"/>
      <w:r w:rsidR="000C492D">
        <w:t xml:space="preserve"> then S believes p. </w:t>
      </w:r>
      <w:r w:rsidR="00634B35">
        <w:t>This claim is motivated by observing the infelicit</w:t>
      </w:r>
      <w:r w:rsidR="004F15A8">
        <w:t>y of expressions such as:</w:t>
      </w:r>
      <w:r w:rsidR="00634B35">
        <w:t xml:space="preserve"> “I assent it’s raining but I don’t believe it’s raining.” </w:t>
      </w:r>
      <w:r w:rsidR="004F15A8">
        <w:t>As above, such an utterance would suggest confu</w:t>
      </w:r>
      <w:r w:rsidR="006B11EB">
        <w:t>sion on the part of the speaker. This suggests another case of constitutive entailment. In symbols:</w:t>
      </w:r>
    </w:p>
    <w:p w14:paraId="7F161544" w14:textId="72CAC4A2" w:rsidR="006B11EB" w:rsidRDefault="006B11EB" w:rsidP="006A68DA">
      <w:pPr>
        <w:pStyle w:val="ListParagraph"/>
        <w:numPr>
          <w:ilvl w:val="0"/>
          <w:numId w:val="3"/>
        </w:numPr>
        <w:spacing w:line="480" w:lineRule="auto"/>
      </w:pPr>
      <w:r>
        <w:t>S AST p |- S BEL p</w:t>
      </w:r>
    </w:p>
    <w:p w14:paraId="095A51EA" w14:textId="1B0BDAC6" w:rsidR="00606020" w:rsidRDefault="006B11EB" w:rsidP="006A68DA">
      <w:pPr>
        <w:spacing w:line="480" w:lineRule="auto"/>
      </w:pPr>
      <w:r>
        <w:t>Is it accurate to describe Skeptics as adopting, perhaps implicitly, (2)? Again, scholars are divided.</w:t>
      </w:r>
      <w:r>
        <w:rPr>
          <w:rStyle w:val="FootnoteReference"/>
        </w:rPr>
        <w:footnoteReference w:id="29"/>
      </w:r>
      <w:r>
        <w:t xml:space="preserve"> Frede accepts (2) as an accurate descript</w:t>
      </w:r>
      <w:r w:rsidR="001B1875">
        <w:t>ion of the Skeptic. I</w:t>
      </w:r>
      <w:r>
        <w:t xml:space="preserve">t is worth examining why one might demur. </w:t>
      </w:r>
      <w:r w:rsidR="00865971">
        <w:t xml:space="preserve">First, </w:t>
      </w:r>
      <w:r w:rsidR="00865971">
        <w:rPr>
          <w:i/>
        </w:rPr>
        <w:t>p</w:t>
      </w:r>
      <w:r w:rsidRPr="006B11EB">
        <w:rPr>
          <w:i/>
        </w:rPr>
        <w:t>rima facie</w:t>
      </w:r>
      <w:r>
        <w:t xml:space="preserve"> the intuition of infelicity motivating (2) is not as strong as that</w:t>
      </w:r>
      <w:r w:rsidR="00B94306">
        <w:t xml:space="preserve"> motivating (1). This is perhaps</w:t>
      </w:r>
      <w:r>
        <w:t xml:space="preserve"> due to the </w:t>
      </w:r>
      <w:r w:rsidR="00013501">
        <w:t>voluntary/involuntary ambiguity</w:t>
      </w:r>
      <w:r w:rsidR="00D14648">
        <w:t xml:space="preserve"> noted </w:t>
      </w:r>
      <w:r w:rsidR="00013501">
        <w:t>above</w:t>
      </w:r>
      <w:r w:rsidR="00B94306">
        <w:t>. Plausibly, an agent may</w:t>
      </w:r>
      <w:r>
        <w:t xml:space="preserve"> </w:t>
      </w:r>
      <w:r>
        <w:rPr>
          <w:i/>
        </w:rPr>
        <w:t>involuntarily</w:t>
      </w:r>
      <w:r>
        <w:t xml:space="preserve"> assent </w:t>
      </w:r>
      <w:proofErr w:type="spellStart"/>
      <w:r>
        <w:t>to p</w:t>
      </w:r>
      <w:proofErr w:type="spellEnd"/>
      <w:r>
        <w:t xml:space="preserve"> without constitutively entailing belief in p. </w:t>
      </w:r>
      <w:r w:rsidR="00865971">
        <w:t>Second, note that</w:t>
      </w:r>
      <w:r w:rsidR="00D14648">
        <w:t xml:space="preserve"> accepting </w:t>
      </w:r>
      <w:r w:rsidR="00606020">
        <w:t xml:space="preserve">both </w:t>
      </w:r>
      <w:r w:rsidR="00D14648">
        <w:t>(1) and (2)</w:t>
      </w:r>
      <w:r w:rsidR="00606020">
        <w:t xml:space="preserve"> commits one to, in symbols:</w:t>
      </w:r>
      <w:r w:rsidR="00865971">
        <w:rPr>
          <w:rStyle w:val="FootnoteReference"/>
        </w:rPr>
        <w:footnoteReference w:id="30"/>
      </w:r>
    </w:p>
    <w:p w14:paraId="0A02B44C" w14:textId="4F3BF0BF" w:rsidR="00606020" w:rsidRDefault="00C076BB" w:rsidP="001B1875">
      <w:pPr>
        <w:pStyle w:val="ListParagraph"/>
        <w:spacing w:line="480" w:lineRule="auto"/>
      </w:pPr>
      <w:r>
        <w:lastRenderedPageBreak/>
        <w:t xml:space="preserve">(*) </w:t>
      </w:r>
      <w:r w:rsidR="00606020">
        <w:t xml:space="preserve">S AST p |- S BEL </w:t>
      </w:r>
      <w:proofErr w:type="gramStart"/>
      <w:r w:rsidR="00606020">
        <w:t>T(</w:t>
      </w:r>
      <w:proofErr w:type="gramEnd"/>
      <w:r w:rsidR="00606020">
        <w:t>p)</w:t>
      </w:r>
    </w:p>
    <w:p w14:paraId="76B0E8A4" w14:textId="5146A3F5" w:rsidR="007E7893" w:rsidRDefault="00C076BB" w:rsidP="006A68DA">
      <w:pPr>
        <w:spacing w:line="480" w:lineRule="auto"/>
      </w:pPr>
      <w:r>
        <w:t>But (*</w:t>
      </w:r>
      <w:r w:rsidR="00606020">
        <w:t>) is</w:t>
      </w:r>
      <w:r w:rsidR="00D55718">
        <w:t xml:space="preserve"> a corollary each scholar in the debate want</w:t>
      </w:r>
      <w:r w:rsidR="007E7893">
        <w:t>s</w:t>
      </w:r>
      <w:r w:rsidR="00D55718">
        <w:t xml:space="preserve"> to avoid</w:t>
      </w:r>
      <w:r w:rsidR="00D14648">
        <w:t xml:space="preserve">. </w:t>
      </w:r>
      <w:r w:rsidR="00013501">
        <w:t xml:space="preserve">Some avoid (*) by rejecting (2); </w:t>
      </w:r>
      <w:r>
        <w:t>Frede avoids (*</w:t>
      </w:r>
      <w:r w:rsidR="00606020">
        <w:t>) by rejecting (1)</w:t>
      </w:r>
      <w:r w:rsidR="00D14648">
        <w:t>.</w:t>
      </w:r>
      <w:r w:rsidR="00D14648">
        <w:rPr>
          <w:rStyle w:val="FootnoteReference"/>
        </w:rPr>
        <w:footnoteReference w:id="31"/>
      </w:r>
      <w:r w:rsidR="00606020">
        <w:t xml:space="preserve"> It is then open for him to characteriz</w:t>
      </w:r>
      <w:r w:rsidR="00662036">
        <w:t>e Skeptics with (2), empty of</w:t>
      </w:r>
      <w:r w:rsidR="007E7893">
        <w:t xml:space="preserve"> truth</w:t>
      </w:r>
      <w:r w:rsidR="00013501">
        <w:t>-directed consequences. Indeed, for Frede</w:t>
      </w:r>
      <w:r w:rsidR="007E7893">
        <w:t xml:space="preserve"> (2) applies </w:t>
      </w:r>
      <w:r w:rsidR="00606020">
        <w:t>whether assent is voluntary or involuntary.</w:t>
      </w:r>
      <w:r w:rsidR="00606020">
        <w:rPr>
          <w:rStyle w:val="FootnoteReference"/>
        </w:rPr>
        <w:footnoteReference w:id="32"/>
      </w:r>
      <w:r w:rsidR="00606020">
        <w:t xml:space="preserve"> </w:t>
      </w:r>
    </w:p>
    <w:p w14:paraId="333E5E50" w14:textId="478731D9" w:rsidR="00B36E9A" w:rsidRDefault="00D55718" w:rsidP="007E7893">
      <w:pPr>
        <w:spacing w:line="360" w:lineRule="auto"/>
        <w:ind w:firstLine="720"/>
      </w:pPr>
      <w:r>
        <w:t xml:space="preserve">We have acquired a taste of Frede’s </w:t>
      </w:r>
      <w:r w:rsidR="00F30E24">
        <w:t>proposal</w:t>
      </w:r>
      <w:r>
        <w:t xml:space="preserve"> by identifying the preceding theses. We turn next to the entrée. </w:t>
      </w:r>
    </w:p>
    <w:p w14:paraId="5CAE02CD" w14:textId="7EE950E0" w:rsidR="006603ED" w:rsidRPr="00C01B9B" w:rsidRDefault="00C01B9B" w:rsidP="007E7893">
      <w:pPr>
        <w:spacing w:line="360" w:lineRule="auto"/>
        <w:jc w:val="center"/>
        <w:rPr>
          <w:b/>
        </w:rPr>
      </w:pPr>
      <w:r>
        <w:rPr>
          <w:b/>
        </w:rPr>
        <w:t>Section 2: Frede among the Skeptics</w:t>
      </w:r>
    </w:p>
    <w:p w14:paraId="6451F258" w14:textId="4A1DD667" w:rsidR="00D55718" w:rsidRDefault="00D55718" w:rsidP="007E7893">
      <w:pPr>
        <w:spacing w:line="480" w:lineRule="auto"/>
      </w:pPr>
      <w:r>
        <w:t>In this section, we present Frede’s interpretation of the Skeptics as having bel</w:t>
      </w:r>
      <w:r w:rsidR="00794C51">
        <w:t>iefs. We note concerns</w:t>
      </w:r>
      <w:r>
        <w:t>, which we attempt to address by appealing to a non-standard notion of truth. Ultimately, howev</w:t>
      </w:r>
      <w:r w:rsidR="007E7893">
        <w:t>er, we show such an appeal</w:t>
      </w:r>
      <w:r w:rsidR="003058A5">
        <w:t xml:space="preserve"> provides Frede little</w:t>
      </w:r>
      <w:r>
        <w:t xml:space="preserve"> help. </w:t>
      </w:r>
    </w:p>
    <w:p w14:paraId="5C929399" w14:textId="5D58CE64" w:rsidR="00D55718" w:rsidRPr="00D55718" w:rsidRDefault="00D55718" w:rsidP="007E7893">
      <w:pPr>
        <w:spacing w:line="480" w:lineRule="auto"/>
        <w:rPr>
          <w:i/>
        </w:rPr>
      </w:pPr>
      <w:r w:rsidRPr="00D55718">
        <w:rPr>
          <w:i/>
        </w:rPr>
        <w:t>Frede among the Skeptics</w:t>
      </w:r>
    </w:p>
    <w:p w14:paraId="24545981" w14:textId="6EEFD677" w:rsidR="00374096" w:rsidRDefault="00D11A2A" w:rsidP="006A68DA">
      <w:pPr>
        <w:spacing w:line="480" w:lineRule="auto"/>
      </w:pPr>
      <w:r>
        <w:t>Frede takes Sextus’s remarks concerning two senses of beli</w:t>
      </w:r>
      <w:r w:rsidR="0094650F">
        <w:t xml:space="preserve">ef to indicate Skeptics have beliefs. </w:t>
      </w:r>
      <w:r w:rsidR="005240CC">
        <w:t xml:space="preserve">For </w:t>
      </w:r>
      <w:r w:rsidR="0094650F">
        <w:t>Frede claims Skeptic suspension of judgment applied solely to unclear matters of investigation, i.e.</w:t>
      </w:r>
      <w:r>
        <w:t xml:space="preserve"> conclusions drawn from reaso</w:t>
      </w:r>
      <w:r w:rsidR="00D55718">
        <w:t>n and argumentation</w:t>
      </w:r>
      <w:r w:rsidR="0094650F">
        <w:t>.</w:t>
      </w:r>
      <w:r w:rsidR="00D55718">
        <w:rPr>
          <w:rStyle w:val="FootnoteReference"/>
        </w:rPr>
        <w:footnoteReference w:id="33"/>
      </w:r>
      <w:r w:rsidR="005240CC">
        <w:t xml:space="preserve"> </w:t>
      </w:r>
      <w:r w:rsidR="002B3CDD">
        <w:t xml:space="preserve">Of course, in the </w:t>
      </w:r>
      <w:r w:rsidR="005F0993">
        <w:t xml:space="preserve">well-known </w:t>
      </w:r>
      <w:r w:rsidR="002B3CDD">
        <w:t>passage cited above</w:t>
      </w:r>
      <w:r w:rsidR="005F0993">
        <w:rPr>
          <w:rStyle w:val="FootnoteReference"/>
        </w:rPr>
        <w:footnoteReference w:id="34"/>
      </w:r>
      <w:r w:rsidR="002B3CDD">
        <w:t xml:space="preserve"> Sextus does not explicitly s</w:t>
      </w:r>
      <w:r w:rsidR="005240CC">
        <w:t xml:space="preserve">ay Skeptics have beliefs. </w:t>
      </w:r>
      <w:r w:rsidR="00013501">
        <w:t>Nevertheless</w:t>
      </w:r>
      <w:r w:rsidR="002B3CDD">
        <w:t xml:space="preserve">, Sextus </w:t>
      </w:r>
      <w:r w:rsidR="00406D5B">
        <w:t>does claim</w:t>
      </w:r>
      <w:r w:rsidR="002B3CDD">
        <w:t xml:space="preserve"> Skeptics </w:t>
      </w:r>
      <w:r w:rsidR="00EA489C">
        <w:t xml:space="preserve">passively </w:t>
      </w:r>
      <w:r w:rsidR="002B3CDD">
        <w:t>assent to appearances</w:t>
      </w:r>
      <w:r w:rsidR="00013501">
        <w:t>. Since</w:t>
      </w:r>
      <w:r w:rsidR="00EA489C">
        <w:t xml:space="preserve"> </w:t>
      </w:r>
      <w:r w:rsidR="005240CC">
        <w:t>Frede</w:t>
      </w:r>
      <w:r w:rsidR="002B3CDD">
        <w:t xml:space="preserve"> </w:t>
      </w:r>
      <w:r w:rsidR="002B3CDD" w:rsidRPr="00064A18">
        <w:t>claims (2) a</w:t>
      </w:r>
      <w:r w:rsidR="00E34E7E" w:rsidRPr="00064A18">
        <w:t>pplies</w:t>
      </w:r>
      <w:r w:rsidR="00E34E7E">
        <w:t xml:space="preserve"> to the Skeptic</w:t>
      </w:r>
      <w:r w:rsidR="00013501">
        <w:t>,</w:t>
      </w:r>
      <w:r w:rsidR="002B3CDD">
        <w:t xml:space="preserve"> assenting to the content of appearances constitutively entails believing the content of appearances.</w:t>
      </w:r>
      <w:r w:rsidR="005240CC">
        <w:t xml:space="preserve"> </w:t>
      </w:r>
      <w:r w:rsidR="00EA489C">
        <w:t xml:space="preserve">As noted above, whether the assent in question is voluntary or involuntary is not something Frede finds relevant to </w:t>
      </w:r>
      <w:r w:rsidR="00EA489C">
        <w:lastRenderedPageBreak/>
        <w:t>whether Skeptics have belief</w:t>
      </w:r>
      <w:r w:rsidR="00013501">
        <w:t>s; e</w:t>
      </w:r>
      <w:r w:rsidR="00374096">
        <w:t>ven i</w:t>
      </w:r>
      <w:r w:rsidR="00EA489C">
        <w:t>nvoluntarily assenting to appearance p, for Frede’s proposal, lead</w:t>
      </w:r>
      <w:r w:rsidR="00374096">
        <w:t>s to Skeptics believing p. Aside from the qualification that p cannot be drawn from argumentation or reasoning, the only other c</w:t>
      </w:r>
      <w:r w:rsidR="00595EC4">
        <w:t>aveat is</w:t>
      </w:r>
      <w:r w:rsidR="00EA489C">
        <w:t xml:space="preserve"> p does not conflict with some other appearance. </w:t>
      </w:r>
      <w:r w:rsidR="00595EC4">
        <w:t>On Frede’s proposal, i</w:t>
      </w:r>
      <w:r w:rsidR="00374096">
        <w:t xml:space="preserve">f these conditions are met, the Skeptic believes p. </w:t>
      </w:r>
    </w:p>
    <w:p w14:paraId="0B05BE92" w14:textId="60764FDD" w:rsidR="003058A5" w:rsidRPr="00662036" w:rsidRDefault="00F30E24" w:rsidP="00662036">
      <w:pPr>
        <w:spacing w:line="480" w:lineRule="auto"/>
        <w:ind w:firstLine="720"/>
      </w:pPr>
      <w:r>
        <w:t>Three</w:t>
      </w:r>
      <w:r w:rsidR="00406D5B">
        <w:t xml:space="preserve"> points </w:t>
      </w:r>
      <w:r>
        <w:t>concerning</w:t>
      </w:r>
      <w:r w:rsidR="00064A18">
        <w:t xml:space="preserve"> Frede’s </w:t>
      </w:r>
      <w:r w:rsidR="00374096">
        <w:t>proposal</w:t>
      </w:r>
      <w:r w:rsidR="00064A18">
        <w:t xml:space="preserve"> </w:t>
      </w:r>
      <w:r w:rsidR="00406D5B">
        <w:t xml:space="preserve">are worth emphasizing. First, </w:t>
      </w:r>
      <w:r w:rsidR="00634B35">
        <w:t>Fr</w:t>
      </w:r>
      <w:r w:rsidR="005240CC">
        <w:t>ede claims the Skeptic believes not simply that things appear a certain way</w:t>
      </w:r>
      <w:r w:rsidR="00D20A45">
        <w:t xml:space="preserve">, but rather, that things </w:t>
      </w:r>
      <w:r w:rsidR="005240CC">
        <w:t xml:space="preserve">are the way they </w:t>
      </w:r>
      <w:r w:rsidR="006E3EA4">
        <w:t>appear. To clarify, consider</w:t>
      </w:r>
      <w:r w:rsidR="005240CC">
        <w:t xml:space="preserve"> two propositions a</w:t>
      </w:r>
      <w:r w:rsidR="00D20A45">
        <w:t>n agent might be disposed to express with</w:t>
      </w:r>
      <w:r w:rsidR="00634B35">
        <w:t xml:space="preserve"> “Honey is sweet”</w:t>
      </w:r>
      <w:r w:rsidR="005240CC">
        <w:t xml:space="preserve"> and</w:t>
      </w:r>
      <w:r w:rsidR="00634B35">
        <w:t xml:space="preserve"> “Honey </w:t>
      </w:r>
      <w:r w:rsidR="00634B35" w:rsidRPr="00D20A45">
        <w:t>appears</w:t>
      </w:r>
      <w:r w:rsidR="005240CC">
        <w:t xml:space="preserve"> sweet,</w:t>
      </w:r>
      <w:r w:rsidR="00D20A45">
        <w:t>”</w:t>
      </w:r>
      <w:r w:rsidR="005240CC">
        <w:t xml:space="preserve"> respectively.</w:t>
      </w:r>
      <w:r w:rsidR="00634B35">
        <w:t xml:space="preserve"> </w:t>
      </w:r>
      <w:r w:rsidR="00D20A45">
        <w:t>Frede claims the Skeptic believes propositions of the former sort, not merely propositions of the latter sort</w:t>
      </w:r>
      <w:r w:rsidR="00634B35">
        <w:t>.</w:t>
      </w:r>
      <w:r w:rsidR="00520A2D">
        <w:rPr>
          <w:rStyle w:val="FootnoteReference"/>
        </w:rPr>
        <w:footnoteReference w:id="35"/>
      </w:r>
      <w:r w:rsidR="00406D5B">
        <w:t xml:space="preserve"> Second</w:t>
      </w:r>
      <w:r w:rsidR="00595EC4">
        <w:t xml:space="preserve">, </w:t>
      </w:r>
      <w:r w:rsidR="00E80784">
        <w:t>Frede’s proposal leaves the S</w:t>
      </w:r>
      <w:r w:rsidR="00E34E7E">
        <w:t xml:space="preserve">keptic with a </w:t>
      </w:r>
      <w:r w:rsidR="00F3088D">
        <w:t xml:space="preserve">wide </w:t>
      </w:r>
      <w:r w:rsidR="00E34E7E">
        <w:t>range of beliefs, e.g.</w:t>
      </w:r>
      <w:r w:rsidR="00F3088D">
        <w:t xml:space="preserve"> perceptual and reflective beliefs; beliefs about satisfying bodily urges;</w:t>
      </w:r>
      <w:r w:rsidR="00520A2D">
        <w:t xml:space="preserve"> </w:t>
      </w:r>
      <w:r w:rsidR="00F3088D">
        <w:t>beliefs about customs and laws; beliefs about expertise</w:t>
      </w:r>
      <w:r w:rsidR="00732103">
        <w:t xml:space="preserve">. </w:t>
      </w:r>
      <w:r>
        <w:t>Third, and relatedly</w:t>
      </w:r>
      <w:r w:rsidR="00E34E7E">
        <w:t>, the Skeptic need not worry about the apraxia objection</w:t>
      </w:r>
      <w:r w:rsidR="00732103">
        <w:t xml:space="preserve">. </w:t>
      </w:r>
      <w:r w:rsidR="00F3088D">
        <w:t xml:space="preserve">Frede’s Skeptic, with respect to beliefs, is rather similar to ordinary folks. Since the apraxia objection is not forceful against the latter, it should not be considered forceful against the former. </w:t>
      </w:r>
      <w:r w:rsidR="00E34E7E">
        <w:t xml:space="preserve"> </w:t>
      </w:r>
    </w:p>
    <w:p w14:paraId="57D0A2DA" w14:textId="5ADC6A0D" w:rsidR="00C01B9B" w:rsidRPr="00C01B9B" w:rsidRDefault="00013501" w:rsidP="006A68DA">
      <w:pPr>
        <w:spacing w:line="480" w:lineRule="auto"/>
        <w:rPr>
          <w:i/>
        </w:rPr>
      </w:pPr>
      <w:r>
        <w:rPr>
          <w:i/>
        </w:rPr>
        <w:t>Devil among the</w:t>
      </w:r>
      <w:r w:rsidR="00C93E45">
        <w:rPr>
          <w:i/>
        </w:rPr>
        <w:t xml:space="preserve"> Details - Frede among </w:t>
      </w:r>
      <w:r>
        <w:rPr>
          <w:i/>
        </w:rPr>
        <w:t xml:space="preserve">the </w:t>
      </w:r>
      <w:r w:rsidR="00C93E45">
        <w:rPr>
          <w:i/>
        </w:rPr>
        <w:t>Objections</w:t>
      </w:r>
    </w:p>
    <w:p w14:paraId="0A931086" w14:textId="173A2D28" w:rsidR="00EB7CD9" w:rsidRPr="00F62174" w:rsidRDefault="00374096" w:rsidP="006A68DA">
      <w:pPr>
        <w:spacing w:line="480" w:lineRule="auto"/>
        <w:ind w:firstLine="720"/>
      </w:pPr>
      <w:r>
        <w:t>Despite the benefits of Frede’s proposal, t</w:t>
      </w:r>
      <w:r w:rsidR="00732103">
        <w:t xml:space="preserve">here are reasons one might </w:t>
      </w:r>
      <w:r w:rsidR="00E34E7E">
        <w:t>protest</w:t>
      </w:r>
      <w:r w:rsidR="00732103">
        <w:t>.</w:t>
      </w:r>
      <w:r w:rsidR="00732103">
        <w:rPr>
          <w:rStyle w:val="FootnoteReference"/>
        </w:rPr>
        <w:footnoteReference w:id="36"/>
      </w:r>
      <w:r>
        <w:t xml:space="preserve"> W</w:t>
      </w:r>
      <w:r w:rsidR="00732103">
        <w:t>hile few</w:t>
      </w:r>
      <w:r w:rsidR="00016A49">
        <w:rPr>
          <w:rStyle w:val="FootnoteReference"/>
        </w:rPr>
        <w:footnoteReference w:id="37"/>
      </w:r>
      <w:r w:rsidR="00732103">
        <w:t xml:space="preserve"> have balked at Frede’s accepting (2), many have objected to Frede’s re</w:t>
      </w:r>
      <w:r w:rsidR="00256D0F">
        <w:t>jection of (1)</w:t>
      </w:r>
      <w:r w:rsidR="00732103">
        <w:t>.</w:t>
      </w:r>
      <w:r w:rsidR="00E80784">
        <w:rPr>
          <w:rStyle w:val="FootnoteReference"/>
        </w:rPr>
        <w:footnoteReference w:id="38"/>
      </w:r>
      <w:r w:rsidR="00E80784">
        <w:t xml:space="preserve"> </w:t>
      </w:r>
      <w:r w:rsidR="00A119E7">
        <w:t>Those taking issue with this feature of Frede’s proposal claim it makes little sense for an agent to believe p without taking p to be true.</w:t>
      </w:r>
      <w:r w:rsidR="0040556F">
        <w:rPr>
          <w:rStyle w:val="FootnoteReference"/>
        </w:rPr>
        <w:footnoteReference w:id="39"/>
      </w:r>
      <w:r w:rsidR="00F3088D">
        <w:t xml:space="preserve"> Some suggest</w:t>
      </w:r>
      <w:r w:rsidR="00A119E7">
        <w:t xml:space="preserve"> rather than rejecting (1), Frede is simply confusingly </w:t>
      </w:r>
      <w:r w:rsidR="00A119E7">
        <w:lastRenderedPageBreak/>
        <w:t>advocating the Skeptics employed a doxastic attitude weaker than, but related to, belief</w:t>
      </w:r>
      <w:r w:rsidR="000E4CD4">
        <w:t>, e.g.</w:t>
      </w:r>
      <w:r w:rsidR="00E80784">
        <w:t xml:space="preserve"> </w:t>
      </w:r>
      <w:r w:rsidR="00E80784">
        <w:rPr>
          <w:i/>
        </w:rPr>
        <w:t>acceptance</w:t>
      </w:r>
      <w:r w:rsidR="00E80784">
        <w:t>.</w:t>
      </w:r>
      <w:r w:rsidR="00E80784">
        <w:rPr>
          <w:rStyle w:val="FootnoteReference"/>
        </w:rPr>
        <w:footnoteReference w:id="40"/>
      </w:r>
      <w:r w:rsidR="00E80784">
        <w:t xml:space="preserve"> If so, then Frede’s Skeptic </w:t>
      </w:r>
      <w:r w:rsidR="00E80784" w:rsidRPr="00A119E7">
        <w:rPr>
          <w:i/>
        </w:rPr>
        <w:t>accepts</w:t>
      </w:r>
      <w:r w:rsidR="006E3EA4">
        <w:t xml:space="preserve"> the proposition</w:t>
      </w:r>
      <w:r w:rsidR="00E80784">
        <w:t xml:space="preserve"> expressed by “Hone</w:t>
      </w:r>
      <w:r w:rsidR="006E3EA4">
        <w:t>y is sweet” rather than believe</w:t>
      </w:r>
      <w:r w:rsidR="006A7734">
        <w:t>s</w:t>
      </w:r>
      <w:r w:rsidR="006E3EA4">
        <w:t xml:space="preserve"> it, and</w:t>
      </w:r>
      <w:r w:rsidR="00E80784">
        <w:t xml:space="preserve"> </w:t>
      </w:r>
      <w:r w:rsidR="00A119E7">
        <w:t xml:space="preserve">presumably </w:t>
      </w:r>
      <w:r w:rsidR="00E80784">
        <w:t xml:space="preserve">acceptance does not constitutively entail belief. </w:t>
      </w:r>
      <w:r w:rsidR="00EB7CD9">
        <w:t>A</w:t>
      </w:r>
      <w:r w:rsidR="00A119E7">
        <w:t xml:space="preserve"> worry one might have about reading Frede in this manner</w:t>
      </w:r>
      <w:r w:rsidR="00EB7CD9">
        <w:t xml:space="preserve"> is that if acceptance </w:t>
      </w:r>
      <w:r w:rsidR="00A119E7">
        <w:t>is weaker</w:t>
      </w:r>
      <w:r w:rsidR="000D7CFF">
        <w:rPr>
          <w:rStyle w:val="FootnoteReference"/>
        </w:rPr>
        <w:footnoteReference w:id="41"/>
      </w:r>
      <w:r w:rsidR="00A119E7">
        <w:t xml:space="preserve"> than belief, it may be inadequate for</w:t>
      </w:r>
      <w:r w:rsidR="00EB7CD9">
        <w:t xml:space="preserve"> action,</w:t>
      </w:r>
      <w:r w:rsidR="00A119E7">
        <w:t xml:space="preserve"> and so inadequate to address the apraxia objection</w:t>
      </w:r>
      <w:r w:rsidR="00EB7CD9">
        <w:t>.</w:t>
      </w:r>
      <w:r w:rsidR="00BB374F">
        <w:rPr>
          <w:rStyle w:val="FootnoteReference"/>
        </w:rPr>
        <w:footnoteReference w:id="42"/>
      </w:r>
      <w:r w:rsidR="00BB374F">
        <w:t xml:space="preserve"> </w:t>
      </w:r>
      <w:r w:rsidR="004842FD">
        <w:t>More worrisome is</w:t>
      </w:r>
      <w:r w:rsidR="00F62174">
        <w:t xml:space="preserve"> the fact that equivocating over “belief” is precisely what Frede claims he is </w:t>
      </w:r>
      <w:r w:rsidR="00F62174">
        <w:rPr>
          <w:i/>
        </w:rPr>
        <w:t>not</w:t>
      </w:r>
      <w:r w:rsidR="00F62174">
        <w:t xml:space="preserve"> doing, as those offering this </w:t>
      </w:r>
      <w:r w:rsidR="004842FD">
        <w:t>reading of Frede</w:t>
      </w:r>
      <w:r w:rsidR="00F62174">
        <w:t xml:space="preserve"> concede</w:t>
      </w:r>
      <w:r w:rsidR="00F3088D">
        <w:t>.</w:t>
      </w:r>
      <w:r w:rsidR="00F3088D">
        <w:rPr>
          <w:rStyle w:val="FootnoteReference"/>
        </w:rPr>
        <w:footnoteReference w:id="43"/>
      </w:r>
    </w:p>
    <w:p w14:paraId="689C466B" w14:textId="6D219710" w:rsidR="003B2F5B" w:rsidRDefault="00B02E1E" w:rsidP="00C55E71">
      <w:pPr>
        <w:spacing w:line="480" w:lineRule="auto"/>
        <w:ind w:firstLine="720"/>
      </w:pPr>
      <w:r>
        <w:t>Alternatively</w:t>
      </w:r>
      <w:r w:rsidR="00EB7CD9">
        <w:t>, it has been suggested</w:t>
      </w:r>
      <w:r w:rsidR="00A119E7">
        <w:t xml:space="preserve"> Frede’s rejection of (1) </w:t>
      </w:r>
      <w:r w:rsidR="00256D0F">
        <w:t>indicates</w:t>
      </w:r>
      <w:r w:rsidR="00A119E7">
        <w:t xml:space="preserve"> he is </w:t>
      </w:r>
      <w:r w:rsidR="00EB7CD9">
        <w:t xml:space="preserve">employing a non-standard notion of </w:t>
      </w:r>
      <w:r w:rsidR="00EB7CD9">
        <w:rPr>
          <w:i/>
        </w:rPr>
        <w:t>truth</w:t>
      </w:r>
      <w:r w:rsidR="00EB7CD9">
        <w:t>.</w:t>
      </w:r>
      <w:r w:rsidR="00BB374F">
        <w:rPr>
          <w:rStyle w:val="FootnoteReference"/>
        </w:rPr>
        <w:footnoteReference w:id="44"/>
      </w:r>
      <w:r w:rsidR="00BB374F">
        <w:t xml:space="preserve"> </w:t>
      </w:r>
      <w:r w:rsidR="00C93E45">
        <w:t>“</w:t>
      </w:r>
      <w:r w:rsidR="00566775">
        <w:t>Non-standard</w:t>
      </w:r>
      <w:r w:rsidR="00C93E45">
        <w:t>”</w:t>
      </w:r>
      <w:r w:rsidR="00566775">
        <w:t xml:space="preserve"> ne</w:t>
      </w:r>
      <w:r w:rsidR="004842FD">
        <w:t>ed not be understood anachronistically, i.e. with respect to what</w:t>
      </w:r>
      <w:r w:rsidR="00566775">
        <w:t xml:space="preserve"> </w:t>
      </w:r>
      <w:r w:rsidR="00566775">
        <w:rPr>
          <w:i/>
        </w:rPr>
        <w:t>we</w:t>
      </w:r>
      <w:r w:rsidR="00566775">
        <w:t xml:space="preserve"> think of as truth. </w:t>
      </w:r>
      <w:r w:rsidR="004842FD">
        <w:t xml:space="preserve">Rather, </w:t>
      </w:r>
      <w:r w:rsidR="00566775">
        <w:t>Frede may be employing, on behalf of the Skeptic, a notion of truth that differs from the Dogm</w:t>
      </w:r>
      <w:r w:rsidR="007F01A5">
        <w:t>atist</w:t>
      </w:r>
      <w:r w:rsidR="00016A49">
        <w:t>’</w:t>
      </w:r>
      <w:r w:rsidR="007F01A5">
        <w:t>s, which appears to have been a simpl</w:t>
      </w:r>
      <w:r w:rsidR="00016A49">
        <w:t>e correspondence theory</w:t>
      </w:r>
      <w:r w:rsidR="007F01A5">
        <w:t>.</w:t>
      </w:r>
      <w:r w:rsidR="007F01A5">
        <w:rPr>
          <w:rStyle w:val="FootnoteReference"/>
        </w:rPr>
        <w:footnoteReference w:id="45"/>
      </w:r>
      <w:r w:rsidR="003E6261">
        <w:t xml:space="preserve"> </w:t>
      </w:r>
      <w:r w:rsidR="00C911C0">
        <w:t xml:space="preserve">Frede invites this </w:t>
      </w:r>
      <w:r w:rsidR="00256D0F">
        <w:t>suggestion</w:t>
      </w:r>
      <w:r w:rsidR="00C911C0">
        <w:t xml:space="preserve"> by distinguishing “having a view” from “taking a position</w:t>
      </w:r>
      <w:r w:rsidR="00256D0F">
        <w:t>.”</w:t>
      </w:r>
      <w:r w:rsidR="00632D2E">
        <w:rPr>
          <w:rStyle w:val="FootnoteReference"/>
        </w:rPr>
        <w:footnoteReference w:id="46"/>
      </w:r>
      <w:r w:rsidR="00256D0F">
        <w:t xml:space="preserve"> Frede claims Skeptics assent and thereby have a view, but this need not imply they take a position.</w:t>
      </w:r>
      <w:r w:rsidR="00AD3054">
        <w:rPr>
          <w:rStyle w:val="FootnoteReference"/>
        </w:rPr>
        <w:footnoteReference w:id="47"/>
      </w:r>
      <w:r w:rsidR="00256D0F">
        <w:t xml:space="preserve"> Both, he contin</w:t>
      </w:r>
      <w:r w:rsidR="00632D2E">
        <w:t>ues, are</w:t>
      </w:r>
      <w:r w:rsidR="00256D0F">
        <w:t xml:space="preserve"> ways to believe, but only the former is open to the </w:t>
      </w:r>
      <w:r w:rsidR="00256D0F">
        <w:lastRenderedPageBreak/>
        <w:t>Skeptic. We might elaborate</w:t>
      </w:r>
      <w:r w:rsidR="00C911C0">
        <w:t>.</w:t>
      </w:r>
      <w:r w:rsidR="00256D0F">
        <w:rPr>
          <w:rStyle w:val="FootnoteReference"/>
        </w:rPr>
        <w:footnoteReference w:id="48"/>
      </w:r>
      <w:r w:rsidR="00016A49">
        <w:t xml:space="preserve"> Consider, children are in many cases raised and cared for by parents/guardians</w:t>
      </w:r>
      <w:r w:rsidR="00C911C0">
        <w:t>. We might u</w:t>
      </w:r>
      <w:r w:rsidR="00256D0F">
        <w:t>nderstand</w:t>
      </w:r>
      <w:r w:rsidR="00016A49">
        <w:t xml:space="preserve"> youths</w:t>
      </w:r>
      <w:r w:rsidR="00C93E45">
        <w:t xml:space="preserve"> as accepting the guidance</w:t>
      </w:r>
      <w:r w:rsidR="003B2F5B">
        <w:t xml:space="preserve"> </w:t>
      </w:r>
      <w:r w:rsidR="00016A49">
        <w:t>of these caretakers</w:t>
      </w:r>
      <w:r w:rsidR="00256D0F">
        <w:t xml:space="preserve"> by not </w:t>
      </w:r>
      <w:r w:rsidR="00632D2E">
        <w:t>resisting</w:t>
      </w:r>
      <w:r w:rsidR="00256D0F">
        <w:t xml:space="preserve"> them in most cases.</w:t>
      </w:r>
      <w:r w:rsidR="00C911C0">
        <w:t xml:space="preserve"> As childre</w:t>
      </w:r>
      <w:r w:rsidR="00256D0F">
        <w:t>n age, some come to dispute</w:t>
      </w:r>
      <w:r w:rsidR="00C911C0">
        <w:t xml:space="preserve"> the </w:t>
      </w:r>
      <w:r w:rsidR="00256D0F">
        <w:t>guidance</w:t>
      </w:r>
      <w:r w:rsidR="003B2F5B">
        <w:t xml:space="preserve"> </w:t>
      </w:r>
      <w:r w:rsidR="00016A49">
        <w:t>of</w:t>
      </w:r>
      <w:r w:rsidR="00C911C0">
        <w:t xml:space="preserve"> </w:t>
      </w:r>
      <w:r w:rsidR="00016A49">
        <w:t>caretakers</w:t>
      </w:r>
      <w:r w:rsidR="00C911C0">
        <w:t xml:space="preserve">. </w:t>
      </w:r>
      <w:r w:rsidR="003B2F5B">
        <w:t>As they continue to age, p</w:t>
      </w:r>
      <w:r w:rsidR="00256D0F">
        <w:t xml:space="preserve">erhaps after reflecting on the accrued benefits of </w:t>
      </w:r>
      <w:r w:rsidR="00016A49">
        <w:t>such</w:t>
      </w:r>
      <w:r w:rsidR="00C93E45">
        <w:t xml:space="preserve"> guidance</w:t>
      </w:r>
      <w:r w:rsidR="00256D0F">
        <w:t xml:space="preserve">, </w:t>
      </w:r>
      <w:r w:rsidR="00C93E45">
        <w:t xml:space="preserve">some </w:t>
      </w:r>
      <w:r w:rsidR="003B2F5B">
        <w:t xml:space="preserve">children </w:t>
      </w:r>
      <w:r w:rsidR="00256D0F">
        <w:t xml:space="preserve">may come to openly consent </w:t>
      </w:r>
      <w:r w:rsidR="00C93E45">
        <w:t>to the guidance</w:t>
      </w:r>
      <w:r w:rsidR="00256D0F">
        <w:t>. There</w:t>
      </w:r>
      <w:r w:rsidR="00C911C0">
        <w:t xml:space="preserve"> seems a clear d</w:t>
      </w:r>
      <w:r w:rsidR="00686D74">
        <w:t>ifference between</w:t>
      </w:r>
      <w:r w:rsidR="003B2F5B">
        <w:t xml:space="preserve"> </w:t>
      </w:r>
      <w:r w:rsidR="00686D74">
        <w:t xml:space="preserve">early </w:t>
      </w:r>
      <w:r w:rsidR="003B2F5B">
        <w:t>accep</w:t>
      </w:r>
      <w:r w:rsidR="00C93E45">
        <w:t>tance of guidance</w:t>
      </w:r>
      <w:r w:rsidR="00686D74">
        <w:t xml:space="preserve"> by not</w:t>
      </w:r>
      <w:r w:rsidR="00C911C0">
        <w:t xml:space="preserve"> objecting, and </w:t>
      </w:r>
      <w:r w:rsidR="003B2F5B">
        <w:t>later acceptance of</w:t>
      </w:r>
      <w:r w:rsidR="00C911C0">
        <w:t xml:space="preserve"> </w:t>
      </w:r>
      <w:r w:rsidR="00C93E45">
        <w:t>guidance</w:t>
      </w:r>
      <w:r w:rsidR="00C911C0">
        <w:t xml:space="preserve"> by expressed consent. </w:t>
      </w:r>
      <w:r w:rsidR="00632D2E">
        <w:t>Applied</w:t>
      </w:r>
      <w:r w:rsidR="003B2F5B">
        <w:t xml:space="preserve"> to the Skeptic, Fre</w:t>
      </w:r>
      <w:r w:rsidR="00686D74">
        <w:t>de seems to claim</w:t>
      </w:r>
      <w:r w:rsidR="00595EC4">
        <w:t xml:space="preserve"> Skeptic</w:t>
      </w:r>
      <w:r w:rsidR="003B2F5B">
        <w:t>s believe in the sense of a</w:t>
      </w:r>
      <w:r w:rsidR="00C93E45">
        <w:t>ccepting guidance</w:t>
      </w:r>
      <w:r w:rsidR="003B2F5B">
        <w:t xml:space="preserve"> by not objecting, r</w:t>
      </w:r>
      <w:r w:rsidR="003E6261">
        <w:t>ather than by expressed consent</w:t>
      </w:r>
      <w:r w:rsidR="00C911C0">
        <w:t>.</w:t>
      </w:r>
      <w:r w:rsidR="00440AA0">
        <w:rPr>
          <w:rStyle w:val="FootnoteReference"/>
        </w:rPr>
        <w:footnoteReference w:id="49"/>
      </w:r>
      <w:r w:rsidR="00C911C0">
        <w:t xml:space="preserve"> </w:t>
      </w:r>
      <w:r w:rsidR="003E6261">
        <w:t xml:space="preserve">Plausibly, </w:t>
      </w:r>
      <w:r w:rsidR="00C93E45">
        <w:t xml:space="preserve">believing in the </w:t>
      </w:r>
      <w:r w:rsidR="003E6261">
        <w:t>sense of having a view or</w:t>
      </w:r>
      <w:r w:rsidR="00C93E45">
        <w:t xml:space="preserve"> accepting guidance need not entail taking the </w:t>
      </w:r>
      <w:r w:rsidR="00B965EC">
        <w:t>belief content as to be true</w:t>
      </w:r>
      <w:r w:rsidR="00C93E45">
        <w:t>. That would, rather, be an accurate characterization of believing in the sense of taking a</w:t>
      </w:r>
      <w:r w:rsidR="00191A01">
        <w:t xml:space="preserve"> position, i.e.</w:t>
      </w:r>
      <w:r w:rsidR="00016A49">
        <w:t xml:space="preserve"> expressed consent. </w:t>
      </w:r>
      <w:r w:rsidR="00C55E71">
        <w:t>But i</w:t>
      </w:r>
      <w:r w:rsidR="00016A49">
        <w:t>f</w:t>
      </w:r>
      <w:r w:rsidR="004842FD">
        <w:t xml:space="preserve"> belief</w:t>
      </w:r>
      <w:r w:rsidR="003B2F5B">
        <w:t xml:space="preserve"> is the same attitu</w:t>
      </w:r>
      <w:r w:rsidR="00595EC4">
        <w:t>d</w:t>
      </w:r>
      <w:r w:rsidR="00016A49">
        <w:t>e in each case</w:t>
      </w:r>
      <w:r w:rsidR="00686D74">
        <w:t xml:space="preserve"> as Frede</w:t>
      </w:r>
      <w:r w:rsidR="00767255">
        <w:t xml:space="preserve"> hold</w:t>
      </w:r>
      <w:r w:rsidR="00686D74">
        <w:t>s</w:t>
      </w:r>
      <w:r w:rsidR="00016A49">
        <w:t xml:space="preserve">, </w:t>
      </w:r>
      <w:r w:rsidR="00767255">
        <w:t>then he</w:t>
      </w:r>
      <w:r>
        <w:t xml:space="preserve"> is p</w:t>
      </w:r>
      <w:r w:rsidR="00B965EC">
        <w:t>lausibly understood as claiming</w:t>
      </w:r>
      <w:r>
        <w:t xml:space="preserve"> taking a position amounts to belief associated with, say, a simpl</w:t>
      </w:r>
      <w:r w:rsidR="00B965EC">
        <w:t>e correspondence theory</w:t>
      </w:r>
      <w:r>
        <w:t xml:space="preserve">, </w:t>
      </w:r>
      <w:r w:rsidR="003E6261">
        <w:t xml:space="preserve">while </w:t>
      </w:r>
      <w:r>
        <w:t>having a view amounts to belief associated w</w:t>
      </w:r>
      <w:r w:rsidR="00686D74">
        <w:t xml:space="preserve">ith some </w:t>
      </w:r>
      <w:r w:rsidR="00610B71">
        <w:t xml:space="preserve">other theory of truth. </w:t>
      </w:r>
    </w:p>
    <w:p w14:paraId="04441F2C" w14:textId="6BDE172D" w:rsidR="00FF7C6E" w:rsidRPr="00FF7C6E" w:rsidRDefault="00FF7C6E" w:rsidP="00FF7C6E">
      <w:pPr>
        <w:spacing w:line="480" w:lineRule="auto"/>
        <w:rPr>
          <w:i/>
        </w:rPr>
      </w:pPr>
      <w:r w:rsidRPr="00FF7C6E">
        <w:rPr>
          <w:i/>
        </w:rPr>
        <w:t>Strawson</w:t>
      </w:r>
      <w:r>
        <w:rPr>
          <w:i/>
        </w:rPr>
        <w:t xml:space="preserve"> + Frede = Yes</w:t>
      </w:r>
    </w:p>
    <w:p w14:paraId="4128CAE2" w14:textId="4FF019E3" w:rsidR="00731873" w:rsidRDefault="00D81D67" w:rsidP="00BD3D0C">
      <w:pPr>
        <w:spacing w:line="480" w:lineRule="auto"/>
        <w:ind w:firstLine="720"/>
      </w:pPr>
      <w:r>
        <w:t>One way to add substance to Frede’s claim that Skeptics</w:t>
      </w:r>
      <w:r w:rsidR="00F30E24">
        <w:t xml:space="preserve"> </w:t>
      </w:r>
      <w:r>
        <w:t>employ</w:t>
      </w:r>
      <w:r w:rsidR="00060076">
        <w:t xml:space="preserve"> a non-standard notion of truth, is</w:t>
      </w:r>
      <w:r w:rsidR="003A3E65">
        <w:t xml:space="preserve"> by appealing</w:t>
      </w:r>
      <w:r w:rsidR="0077786B">
        <w:t xml:space="preserve"> to a deflationary theory</w:t>
      </w:r>
      <w:r w:rsidR="00BD3D0C">
        <w:t>.</w:t>
      </w:r>
      <w:r w:rsidR="00BD3D0C">
        <w:rPr>
          <w:rStyle w:val="FootnoteReference"/>
        </w:rPr>
        <w:footnoteReference w:id="50"/>
      </w:r>
      <w:r w:rsidR="00BD3D0C">
        <w:t xml:space="preserve"> Indeed, Frede’s remarks may suggest such a reading, as he distinguishes propositions such as p, from their “necessarily equivalent”</w:t>
      </w:r>
      <w:r w:rsidR="00BD3D0C">
        <w:rPr>
          <w:rStyle w:val="FootnoteReference"/>
        </w:rPr>
        <w:footnoteReference w:id="51"/>
      </w:r>
      <w:r w:rsidR="00BD3D0C">
        <w:t xml:space="preserve"> but distinct, correlates of the form: </w:t>
      </w:r>
      <w:r w:rsidR="00B965EC">
        <w:t>“</w:t>
      </w:r>
      <w:r w:rsidR="00BD3D0C">
        <w:t>It is true that p.</w:t>
      </w:r>
      <w:r w:rsidR="00B965EC">
        <w:t>”</w:t>
      </w:r>
      <w:r w:rsidR="00BD3D0C">
        <w:rPr>
          <w:rStyle w:val="FootnoteReference"/>
        </w:rPr>
        <w:footnoteReference w:id="52"/>
      </w:r>
      <w:r w:rsidR="00BD3D0C">
        <w:t xml:space="preserve"> </w:t>
      </w:r>
      <w:r w:rsidR="0050765F">
        <w:t>It has</w:t>
      </w:r>
      <w:r w:rsidR="00BD3D0C">
        <w:t xml:space="preserve">, moreover, been suggested Frede be understood as accepting a </w:t>
      </w:r>
      <w:r w:rsidR="00BD3D0C" w:rsidRPr="00B965EC">
        <w:rPr>
          <w:i/>
        </w:rPr>
        <w:t>particular</w:t>
      </w:r>
      <w:r w:rsidR="00BD3D0C">
        <w:t xml:space="preserve"> deflationary theory of truth, namely, the performative theory of truth developed </w:t>
      </w:r>
      <w:r w:rsidR="00BD3D0C">
        <w:lastRenderedPageBreak/>
        <w:t xml:space="preserve">by </w:t>
      </w:r>
      <w:r w:rsidR="0050765F">
        <w:t xml:space="preserve">Peter </w:t>
      </w:r>
      <w:r w:rsidR="00BD3D0C">
        <w:t>Strawson</w:t>
      </w:r>
      <w:r w:rsidR="003A3E65">
        <w:t>.</w:t>
      </w:r>
      <w:r w:rsidR="003A3E65">
        <w:rPr>
          <w:rStyle w:val="FootnoteReference"/>
        </w:rPr>
        <w:footnoteReference w:id="53"/>
      </w:r>
      <w:r w:rsidR="003A3E65">
        <w:t xml:space="preserve"> </w:t>
      </w:r>
      <w:r w:rsidR="0077786B">
        <w:t xml:space="preserve">Like other deflationary theories, Strawson claimed it confused to think there was a distinguished ‘truth’ property which applied to propositions. </w:t>
      </w:r>
      <w:r w:rsidR="00BD6195">
        <w:t>But Strawson did not think truth-talk was</w:t>
      </w:r>
      <w:r w:rsidR="0077786B">
        <w:t xml:space="preserve"> enti</w:t>
      </w:r>
      <w:r w:rsidR="00BD6195">
        <w:t>rely redundant. Rather, he</w:t>
      </w:r>
      <w:r w:rsidR="0077786B">
        <w:t xml:space="preserve"> held </w:t>
      </w:r>
      <w:r w:rsidR="00BD6195">
        <w:t>truth-talk was performative, i.e.</w:t>
      </w:r>
      <w:r w:rsidR="0077786B">
        <w:t xml:space="preserve"> involved speech acts such as that of endorsement.</w:t>
      </w:r>
      <w:r w:rsidR="0077786B">
        <w:rPr>
          <w:rStyle w:val="FootnoteReference"/>
        </w:rPr>
        <w:footnoteReference w:id="54"/>
      </w:r>
      <w:r w:rsidR="0077786B">
        <w:t xml:space="preserve"> </w:t>
      </w:r>
      <w:r w:rsidR="00A12970">
        <w:t>Strawson took motivation from observing how subtleties involving truth-talk in natural language paralleled redundant en</w:t>
      </w:r>
      <w:r w:rsidR="00B965EC">
        <w:t>dorsement-talk.</w:t>
      </w:r>
      <w:r w:rsidR="00667B21">
        <w:t xml:space="preserve"> For example</w:t>
      </w:r>
      <w:r w:rsidR="00D105AC">
        <w:t xml:space="preserve">, </w:t>
      </w:r>
      <w:r w:rsidR="00060076">
        <w:t>“Right</w:t>
      </w:r>
      <w:r w:rsidR="00D105AC">
        <w:t>”</w:t>
      </w:r>
      <w:r w:rsidR="00667B21" w:rsidRPr="00667B21">
        <w:rPr>
          <w:rStyle w:val="FootnoteReference"/>
        </w:rPr>
        <w:t xml:space="preserve"> </w:t>
      </w:r>
      <w:r w:rsidR="00667B21">
        <w:rPr>
          <w:rStyle w:val="FootnoteReference"/>
        </w:rPr>
        <w:footnoteReference w:id="55"/>
      </w:r>
      <w:r w:rsidR="00D105AC">
        <w:t xml:space="preserve"> may be</w:t>
      </w:r>
      <w:r w:rsidR="00667B21">
        <w:t xml:space="preserve"> used to endorse sentences, but </w:t>
      </w:r>
      <w:r w:rsidR="00595EC4">
        <w:t xml:space="preserve">one may felicitously use a sentence to express </w:t>
      </w:r>
      <w:r w:rsidR="00667B21">
        <w:t xml:space="preserve">a proposition </w:t>
      </w:r>
      <w:r w:rsidR="00595EC4">
        <w:t>p</w:t>
      </w:r>
      <w:r w:rsidR="00A12970">
        <w:t xml:space="preserve"> without </w:t>
      </w:r>
      <w:r w:rsidR="00667B21">
        <w:t xml:space="preserve">needing to say </w:t>
      </w:r>
      <w:r w:rsidR="00060076">
        <w:t>“Right</w:t>
      </w:r>
      <w:r w:rsidR="004D28E1">
        <w:t>”. In other words, there is</w:t>
      </w:r>
      <w:r w:rsidR="00A12970">
        <w:t xml:space="preserve"> an asymmetric dependence</w:t>
      </w:r>
      <w:r w:rsidR="00D105AC">
        <w:t xml:space="preserve"> between “Right” and </w:t>
      </w:r>
      <w:r w:rsidR="00BD699A">
        <w:t xml:space="preserve">sentences used to express </w:t>
      </w:r>
      <w:r w:rsidR="00D105AC">
        <w:t>p</w:t>
      </w:r>
      <w:r w:rsidR="004D28E1">
        <w:t xml:space="preserve">. Strawson claimed </w:t>
      </w:r>
      <w:r w:rsidR="00731873">
        <w:t>sentences such as “It is true that p” are</w:t>
      </w:r>
      <w:r w:rsidR="00A12970">
        <w:t xml:space="preserve"> similarly asymmetrically dependent on</w:t>
      </w:r>
      <w:r w:rsidR="00731873">
        <w:t xml:space="preserve"> those expressing</w:t>
      </w:r>
      <w:r w:rsidR="00595EC4">
        <w:t xml:space="preserve"> p. </w:t>
      </w:r>
      <w:r w:rsidR="002605DD">
        <w:t>S</w:t>
      </w:r>
      <w:r w:rsidR="00BD6195">
        <w:t>uc</w:t>
      </w:r>
      <w:r w:rsidR="0050765F">
        <w:t>h asymmetric dependence suggested for Strawson</w:t>
      </w:r>
      <w:r w:rsidR="00BD6195">
        <w:t xml:space="preserve"> the proposition expressed by the former sentence just </w:t>
      </w:r>
      <w:r w:rsidR="00BD6195">
        <w:rPr>
          <w:i/>
        </w:rPr>
        <w:t>is</w:t>
      </w:r>
      <w:r w:rsidR="00BD6195">
        <w:t xml:space="preserve"> p</w:t>
      </w:r>
      <w:r w:rsidR="0050765F">
        <w:t>. As for the purpose of</w:t>
      </w:r>
      <w:r w:rsidR="002605DD">
        <w:t xml:space="preserve"> truth-talk</w:t>
      </w:r>
      <w:r w:rsidR="0050765F">
        <w:t xml:space="preserve">, </w:t>
      </w:r>
      <w:r w:rsidR="002605DD">
        <w:t xml:space="preserve">Strawson claimed this could be revealed by observing that </w:t>
      </w:r>
      <w:r w:rsidR="002004CE">
        <w:t xml:space="preserve">many </w:t>
      </w:r>
      <w:r w:rsidR="002605DD">
        <w:t>utterances of</w:t>
      </w:r>
      <w:r w:rsidR="00BD6195">
        <w:t xml:space="preserve"> “It is true that p” could be analyzed into “p. I endorse p”, </w:t>
      </w:r>
      <w:r w:rsidR="00794C51">
        <w:t xml:space="preserve">where </w:t>
      </w:r>
      <w:r w:rsidR="00731873">
        <w:t xml:space="preserve">the component </w:t>
      </w:r>
      <w:r w:rsidR="00794C51">
        <w:t>“I endorse p” is understood to signify the speech act of endorsement, but is not intended as a description of the act.</w:t>
      </w:r>
      <w:r w:rsidR="00667A88">
        <w:rPr>
          <w:rStyle w:val="FootnoteReference"/>
        </w:rPr>
        <w:footnoteReference w:id="56"/>
      </w:r>
      <w:r w:rsidR="00794C51">
        <w:t xml:space="preserve"> </w:t>
      </w:r>
      <w:r w:rsidR="002004CE">
        <w:t xml:space="preserve">Similarly, truth-talk that involves reporting what others have said can be analyzed into descriptive and performative parts. For example, if John claims “What the policeman said is true,” this may be analyzed into the descriptive </w:t>
      </w:r>
      <w:r w:rsidR="0050765F">
        <w:t xml:space="preserve">component </w:t>
      </w:r>
      <w:r w:rsidR="002004CE">
        <w:t xml:space="preserve">“The policeman made a statement” and performative </w:t>
      </w:r>
      <w:r w:rsidR="0050765F">
        <w:t xml:space="preserve">component </w:t>
      </w:r>
      <w:r w:rsidR="002004CE">
        <w:t xml:space="preserve">“I endorse it.” </w:t>
      </w:r>
      <w:r>
        <w:t>Ultimately then, for Strawson, t</w:t>
      </w:r>
      <w:r w:rsidR="002605DD">
        <w:t xml:space="preserve">ruth-talk is </w:t>
      </w:r>
      <w:r w:rsidR="00BD6195">
        <w:t>redundant, but intimately involved in speech act performance.</w:t>
      </w:r>
      <w:r w:rsidR="00794C51">
        <w:t xml:space="preserve"> </w:t>
      </w:r>
    </w:p>
    <w:p w14:paraId="494D7F2D" w14:textId="6981E5D6" w:rsidR="00BB374F" w:rsidRDefault="003A3E65" w:rsidP="00794C51">
      <w:pPr>
        <w:spacing w:line="480" w:lineRule="auto"/>
        <w:ind w:firstLine="720"/>
      </w:pPr>
      <w:r>
        <w:t>To</w:t>
      </w:r>
      <w:r w:rsidR="00D81D67">
        <w:t xml:space="preserve"> see how Strawson’s theory of truth adds substance to Frede’s claim concerning the Skeptics</w:t>
      </w:r>
      <w:r>
        <w:t xml:space="preserve">, observe </w:t>
      </w:r>
      <w:r w:rsidR="00D81D67">
        <w:t>that</w:t>
      </w:r>
      <w:r w:rsidR="00B965EC">
        <w:t>,</w:t>
      </w:r>
      <w:r w:rsidR="00D81D67">
        <w:t xml:space="preserve"> intuitively</w:t>
      </w:r>
      <w:r w:rsidR="00B965EC">
        <w:t>,</w:t>
      </w:r>
      <w:r w:rsidR="00D81D67">
        <w:t xml:space="preserve"> </w:t>
      </w:r>
      <w:r w:rsidR="00A12970">
        <w:t xml:space="preserve">believing in the sense of having a view need not reach the level of </w:t>
      </w:r>
      <w:r w:rsidR="00060076">
        <w:lastRenderedPageBreak/>
        <w:t xml:space="preserve">an </w:t>
      </w:r>
      <w:r w:rsidR="00A12970">
        <w:t>endorsement, though believing in</w:t>
      </w:r>
      <w:r w:rsidR="00067562">
        <w:t xml:space="preserve"> the sense of taking a position</w:t>
      </w:r>
      <w:r w:rsidR="00060076">
        <w:t xml:space="preserve"> does</w:t>
      </w:r>
      <w:r w:rsidR="00A12970">
        <w:t>.</w:t>
      </w:r>
      <w:r>
        <w:t xml:space="preserve"> </w:t>
      </w:r>
      <w:r w:rsidR="00060076">
        <w:t xml:space="preserve">If John takes the position that cheese </w:t>
      </w:r>
      <w:r w:rsidR="00D81D67">
        <w:t>is delicious, no doubt</w:t>
      </w:r>
      <w:r w:rsidR="00060076">
        <w:t xml:space="preserve"> John endorses cheese as delicious. On the other hand, if John merely has the view that cheese is delicious, it is not obvious John endorses cheese as delicious. Hence</w:t>
      </w:r>
      <w:r w:rsidR="009115EB">
        <w:t>,</w:t>
      </w:r>
      <w:r w:rsidR="00060076">
        <w:t xml:space="preserve"> if</w:t>
      </w:r>
      <w:r w:rsidR="009115EB">
        <w:t xml:space="preserve"> believing p does not constitutively entail endorsing p</w:t>
      </w:r>
      <w:r w:rsidR="00667A88">
        <w:t>, and if endorsing p is</w:t>
      </w:r>
      <w:r w:rsidR="00DF6348">
        <w:t xml:space="preserve"> equivalent to believing p is true, then believing p does not constitutively entail believing p is true. </w:t>
      </w:r>
      <w:r w:rsidR="00067562">
        <w:t>We capture this by claiming</w:t>
      </w:r>
      <w:r w:rsidR="0069105E">
        <w:t xml:space="preserve"> according to Frede, (1) is to be rejected</w:t>
      </w:r>
      <w:r w:rsidR="00067562">
        <w:t xml:space="preserve"> while</w:t>
      </w:r>
      <w:r w:rsidR="0069105E">
        <w:t xml:space="preserve"> (2) and the follo</w:t>
      </w:r>
      <w:r w:rsidR="00067562">
        <w:t>wing</w:t>
      </w:r>
      <w:r w:rsidR="0069105E">
        <w:t xml:space="preserve"> are to be accepted</w:t>
      </w:r>
      <w:r w:rsidR="00BB374F">
        <w:t xml:space="preserve">: </w:t>
      </w:r>
    </w:p>
    <w:p w14:paraId="3D14B4D1" w14:textId="77777777" w:rsidR="00BB374F" w:rsidRDefault="00BB374F" w:rsidP="00794C51">
      <w:pPr>
        <w:pStyle w:val="ListParagraph"/>
        <w:numPr>
          <w:ilvl w:val="0"/>
          <w:numId w:val="3"/>
        </w:numPr>
        <w:spacing w:line="360" w:lineRule="auto"/>
      </w:pPr>
      <w:r>
        <w:t>S BEL T(p) |- S END p</w:t>
      </w:r>
    </w:p>
    <w:p w14:paraId="6CD41745" w14:textId="34B6E78C" w:rsidR="00667A88" w:rsidRDefault="00BB374F" w:rsidP="00667A88">
      <w:pPr>
        <w:pStyle w:val="ListParagraph"/>
        <w:numPr>
          <w:ilvl w:val="0"/>
          <w:numId w:val="3"/>
        </w:numPr>
        <w:spacing w:line="360" w:lineRule="auto"/>
      </w:pPr>
      <w:r>
        <w:t>S END p |- S BEL T(p)</w:t>
      </w:r>
    </w:p>
    <w:p w14:paraId="280741BD" w14:textId="58BB8A88" w:rsidR="00125424" w:rsidRDefault="002306B8" w:rsidP="006A68DA">
      <w:pPr>
        <w:spacing w:line="480" w:lineRule="auto"/>
      </w:pPr>
      <w:r>
        <w:t>Two</w:t>
      </w:r>
      <w:r w:rsidR="0069105E">
        <w:t xml:space="preserve"> points are worth emphasizing. First, t</w:t>
      </w:r>
      <w:r w:rsidR="00BB374F">
        <w:t xml:space="preserve">he constitutive entailments hold because, on this proposal, believing p is true </w:t>
      </w:r>
      <w:r w:rsidR="005E607C">
        <w:t xml:space="preserve">is identified with endorsing p, and the equivalence is justified by appealing to Strawson’s analysis of truth-talk in terms of endorsement. </w:t>
      </w:r>
      <w:r w:rsidR="00517CE8">
        <w:t>Second</w:t>
      </w:r>
      <w:r>
        <w:t>, these observations</w:t>
      </w:r>
      <w:r w:rsidR="0069105E">
        <w:t xml:space="preserve"> provide a </w:t>
      </w:r>
      <w:r w:rsidR="005E607C">
        <w:t xml:space="preserve">robust </w:t>
      </w:r>
      <w:r w:rsidR="0069105E">
        <w:t>way to distinguish the Skeptic’</w:t>
      </w:r>
      <w:r w:rsidR="00517CE8">
        <w:t>s and</w:t>
      </w:r>
      <w:r w:rsidR="0069105E">
        <w:t xml:space="preserve"> Dogmatist’s</w:t>
      </w:r>
      <w:r w:rsidR="00517CE8">
        <w:t xml:space="preserve"> respective</w:t>
      </w:r>
      <w:r w:rsidR="005E607C">
        <w:t xml:space="preserve"> notion</w:t>
      </w:r>
      <w:r w:rsidR="00517CE8">
        <w:t>s</w:t>
      </w:r>
      <w:r w:rsidR="005E607C">
        <w:t xml:space="preserve"> of truth</w:t>
      </w:r>
      <w:r w:rsidR="00517CE8">
        <w:t xml:space="preserve"> and ways of believing</w:t>
      </w:r>
      <w:r w:rsidR="0069105E">
        <w:t xml:space="preserve">. </w:t>
      </w:r>
      <w:r w:rsidR="00517CE8">
        <w:t>The Skeptics are characterized by a deflation</w:t>
      </w:r>
      <w:r w:rsidR="00FA18E7">
        <w:t>ar</w:t>
      </w:r>
      <w:r w:rsidR="00125424">
        <w:t>y theory of truth, and so for the Skeptic only (2) applies. In contrast, Dogmatists are characterized by a more substantial notion of truth, and so for the Dogmatist, (3) and (4) apply.</w:t>
      </w:r>
      <w:r w:rsidR="005F6218">
        <w:rPr>
          <w:rStyle w:val="FootnoteReference"/>
        </w:rPr>
        <w:footnoteReference w:id="57"/>
      </w:r>
      <w:r w:rsidR="00125424">
        <w:t xml:space="preserve">  In other words, Skeptic’s beliefs understood as having a view are distinct from Dogmatist’s beliefs understood as taking a position, since they each employ distinct notions of truth, reflected in which theses accurately characterize them. </w:t>
      </w:r>
    </w:p>
    <w:p w14:paraId="64A7CB9D" w14:textId="7CA7903A" w:rsidR="001A1555" w:rsidRDefault="00193CBE" w:rsidP="002306B8">
      <w:pPr>
        <w:spacing w:line="480" w:lineRule="auto"/>
        <w:ind w:firstLine="720"/>
      </w:pPr>
      <w:r>
        <w:t>T</w:t>
      </w:r>
      <w:r w:rsidR="00424969">
        <w:t>he picture thus far</w:t>
      </w:r>
      <w:r w:rsidR="00322EBD">
        <w:t xml:space="preserve">: </w:t>
      </w:r>
      <w:r w:rsidR="00F62174">
        <w:t>Skeptics have an array of ordinary beliefs, but they suspend judgment over conclusions drawn from reasoning and argumentation. The b</w:t>
      </w:r>
      <w:r w:rsidR="00322EBD">
        <w:t>eliefs Skeptics</w:t>
      </w:r>
      <w:r w:rsidR="00F62174">
        <w:t xml:space="preserve"> have</w:t>
      </w:r>
      <w:r w:rsidR="00322EBD">
        <w:t>, understood in the sense of having a view,</w:t>
      </w:r>
      <w:r w:rsidR="00F62174">
        <w:t xml:space="preserve"> are acquired through involuntary assent to the contents of </w:t>
      </w:r>
      <w:r w:rsidR="00322EBD">
        <w:t>appearances.</w:t>
      </w:r>
      <w:r w:rsidR="00767255">
        <w:rPr>
          <w:rStyle w:val="FootnoteReference"/>
        </w:rPr>
        <w:footnoteReference w:id="58"/>
      </w:r>
      <w:r w:rsidR="00322EBD">
        <w:t xml:space="preserve"> However, a</w:t>
      </w:r>
      <w:r w:rsidR="00F62174">
        <w:t xml:space="preserve">ssenting to the content of an appearance does not constitutively entail </w:t>
      </w:r>
      <w:r w:rsidR="00F62174">
        <w:lastRenderedPageBreak/>
        <w:t>believing the content o</w:t>
      </w:r>
      <w:r w:rsidR="00AD2CC4">
        <w:t xml:space="preserve">f the appearance is true, since believing content does not in general constitutively entail believing said content is true. </w:t>
      </w:r>
      <w:r w:rsidR="002605DD">
        <w:t>This is because</w:t>
      </w:r>
      <w:r w:rsidR="00517CE8">
        <w:t xml:space="preserve">, though truth-talk suggests the contrary, there is no genuine ‘truth’ property one might apply to propositions. </w:t>
      </w:r>
      <w:r w:rsidR="002306B8">
        <w:t xml:space="preserve">Hence, for any given proposition p, Frede’s Skeptics neither endorse p nor believe p to be true, as either would amount to taking a position on p. Nevertheless, they may assent to and thereby believe p, which amounts only to having a view that p. </w:t>
      </w:r>
    </w:p>
    <w:p w14:paraId="1C4F03F2" w14:textId="2EE8DE79" w:rsidR="006603ED" w:rsidRPr="00BD79EA" w:rsidRDefault="00FF7C6E" w:rsidP="006A68DA">
      <w:pPr>
        <w:spacing w:line="480" w:lineRule="auto"/>
        <w:rPr>
          <w:i/>
        </w:rPr>
      </w:pPr>
      <w:r>
        <w:rPr>
          <w:i/>
        </w:rPr>
        <w:t>Frede + Strawson = Not Hardly</w:t>
      </w:r>
      <w:r w:rsidR="00A50C8D">
        <w:rPr>
          <w:i/>
        </w:rPr>
        <w:t xml:space="preserve"> </w:t>
      </w:r>
    </w:p>
    <w:p w14:paraId="253039E0" w14:textId="678600CE" w:rsidR="00426165" w:rsidRDefault="00930FEC" w:rsidP="00426165">
      <w:pPr>
        <w:spacing w:line="480" w:lineRule="auto"/>
      </w:pPr>
      <w:r>
        <w:t>So</w:t>
      </w:r>
      <w:r w:rsidR="00103E85">
        <w:t xml:space="preserve"> far, so good; t</w:t>
      </w:r>
      <w:r w:rsidR="00060076">
        <w:t xml:space="preserve">oo bad this </w:t>
      </w:r>
      <w:r>
        <w:t>proposal</w:t>
      </w:r>
      <w:r w:rsidR="00060076">
        <w:t xml:space="preserve"> does not go so far. </w:t>
      </w:r>
      <w:r w:rsidR="001636C2">
        <w:t xml:space="preserve">The problem with understanding Frede along Strawsonian lines is simple – </w:t>
      </w:r>
      <w:r w:rsidR="00F56779" w:rsidRPr="00F56779">
        <w:rPr>
          <w:i/>
        </w:rPr>
        <w:t>pace</w:t>
      </w:r>
      <w:r w:rsidR="00F56779">
        <w:t xml:space="preserve"> Strawson, </w:t>
      </w:r>
      <w:r w:rsidR="001636C2">
        <w:t xml:space="preserve">endorsement is not necessarily equivalent to </w:t>
      </w:r>
      <w:r w:rsidR="00C1516F">
        <w:t xml:space="preserve">believing something to be </w:t>
      </w:r>
      <w:r w:rsidR="00713649">
        <w:t>true</w:t>
      </w:r>
      <w:r w:rsidR="00BB374F">
        <w:t>.</w:t>
      </w:r>
      <w:r w:rsidR="00840582">
        <w:rPr>
          <w:rStyle w:val="FootnoteReference"/>
        </w:rPr>
        <w:footnoteReference w:id="59"/>
      </w:r>
      <w:r w:rsidR="00BB374F">
        <w:t xml:space="preserve"> </w:t>
      </w:r>
      <w:r w:rsidR="00426165">
        <w:t>This is particularly clear with respect to reports on the claims of others.</w:t>
      </w:r>
      <w:r w:rsidR="00426165">
        <w:rPr>
          <w:rStyle w:val="FootnoteReference"/>
        </w:rPr>
        <w:footnoteReference w:id="60"/>
      </w:r>
      <w:r w:rsidR="00426165">
        <w:t xml:space="preserve"> To see why, s</w:t>
      </w:r>
      <w:r w:rsidR="00C7345B">
        <w:t>uppose David Lewis gave a talk at some time which was attended by John, d</w:t>
      </w:r>
      <w:r w:rsidR="007717F2">
        <w:t>uring which Lewis asserted proposition</w:t>
      </w:r>
      <w:r w:rsidR="00C7345B">
        <w:t xml:space="preserve"> p. </w:t>
      </w:r>
      <w:r w:rsidR="007717F2">
        <w:t>However, u</w:t>
      </w:r>
      <w:r w:rsidR="00C7345B">
        <w:t>nbeknownst</w:t>
      </w:r>
      <w:r w:rsidR="007717F2">
        <w:t xml:space="preserve"> to both Lewis and John,</w:t>
      </w:r>
      <w:r w:rsidR="00C7345B">
        <w:t xml:space="preserve"> p is not true. Suppose later, however, in reporting on the talk, John claimed what Lewis said is true.</w:t>
      </w:r>
      <w:r w:rsidR="00426165">
        <w:t xml:space="preserve"> </w:t>
      </w:r>
      <w:r w:rsidR="00C7345B">
        <w:t>Moreover, suppose John believed that what Lewis said is true</w:t>
      </w:r>
      <w:r w:rsidR="00426165">
        <w:t>. Intuitively, since p is not true, and John believes what Lewis said was true, it follows that John’s belief is not true.</w:t>
      </w:r>
      <w:r w:rsidR="00426165">
        <w:rPr>
          <w:rStyle w:val="FootnoteReference"/>
        </w:rPr>
        <w:footnoteReference w:id="61"/>
      </w:r>
      <w:r w:rsidR="00426165">
        <w:t xml:space="preserve"> This is not, however, the result Strawson’s analysis provides. According to Strawson’s proposal, John’s belief that what Lewis said is true can be analyzed into a descriptive component “Lewis made a statement” and performative component “I endorse it.”</w:t>
      </w:r>
      <w:r w:rsidR="00F42A24">
        <w:rPr>
          <w:rStyle w:val="FootnoteReference"/>
        </w:rPr>
        <w:footnoteReference w:id="62"/>
      </w:r>
      <w:r w:rsidR="00426165">
        <w:t xml:space="preserve"> Then what John believes is that Lewis made a statement and tha</w:t>
      </w:r>
      <w:r w:rsidR="00F42A24">
        <w:t>t John endorses that statement</w:t>
      </w:r>
      <w:r w:rsidR="00A7619F">
        <w:t>.</w:t>
      </w:r>
      <w:r w:rsidR="00F42A24">
        <w:rPr>
          <w:rStyle w:val="FootnoteReference"/>
        </w:rPr>
        <w:footnoteReference w:id="63"/>
      </w:r>
      <w:r w:rsidR="00A7619F">
        <w:t xml:space="preserve"> </w:t>
      </w:r>
      <w:r w:rsidR="00F42A24">
        <w:t xml:space="preserve">But then John believes that Lewis made a </w:t>
      </w:r>
      <w:r w:rsidR="00F42A24">
        <w:lastRenderedPageBreak/>
        <w:t>statement. By assumption, Lewis did make a statement. Hence, according to Strawson’s analysis, the content of John’s belief is true. Hence, John’s belief is true. We noted above that John’s belief is</w:t>
      </w:r>
      <w:r w:rsidR="00A7619F">
        <w:t xml:space="preserve"> intuitiv</w:t>
      </w:r>
      <w:r w:rsidR="007157FB">
        <w:t>ely not true, though. W</w:t>
      </w:r>
      <w:r w:rsidR="00F42A24">
        <w:t xml:space="preserve">e have reached an unhappy impasse. </w:t>
      </w:r>
    </w:p>
    <w:p w14:paraId="240330AB" w14:textId="31621D7E" w:rsidR="00713649" w:rsidRDefault="001A2AAF" w:rsidP="00547ABA">
      <w:pPr>
        <w:spacing w:line="480" w:lineRule="auto"/>
        <w:ind w:firstLine="720"/>
      </w:pPr>
      <w:r>
        <w:t>This not uncommon scenario</w:t>
      </w:r>
      <w:r w:rsidR="00361975">
        <w:t xml:space="preserve"> appears to generate the wrong results</w:t>
      </w:r>
      <w:r>
        <w:t xml:space="preserve"> for Strawson’s analysis</w:t>
      </w:r>
      <w:r w:rsidR="00361975">
        <w:t xml:space="preserve">. </w:t>
      </w:r>
      <w:r w:rsidR="00062997">
        <w:t>G</w:t>
      </w:r>
      <w:r w:rsidR="00840582">
        <w:t>libly, g</w:t>
      </w:r>
      <w:r w:rsidR="00062997">
        <w:t xml:space="preserve">iven how poorly received Frede’s proposal has been in the literature, it seems ill-advised to saddle it with </w:t>
      </w:r>
      <w:r w:rsidR="007157FB">
        <w:t>such</w:t>
      </w:r>
      <w:r w:rsidR="00840582">
        <w:t xml:space="preserve"> unintuitive consequences</w:t>
      </w:r>
      <w:r w:rsidR="00062997">
        <w:t xml:space="preserve">. </w:t>
      </w:r>
      <w:r w:rsidR="00E0718A">
        <w:t>More to the point</w:t>
      </w:r>
      <w:r w:rsidR="00062997">
        <w:t>, t</w:t>
      </w:r>
      <w:r w:rsidR="00620F38">
        <w:t xml:space="preserve">his </w:t>
      </w:r>
      <w:r w:rsidR="00062997">
        <w:t>scenario</w:t>
      </w:r>
      <w:r w:rsidR="00620F38">
        <w:t xml:space="preserve"> strongly suggests believing p is true and endorsing p come apart. </w:t>
      </w:r>
      <w:r w:rsidR="00F42A24">
        <w:t xml:space="preserve">Strawson’s analysis was the primary motivation </w:t>
      </w:r>
      <w:r w:rsidR="00150AAE">
        <w:t>for accepting (3) and (4), but the preceding scenario</w:t>
      </w:r>
      <w:r w:rsidR="00F42A24">
        <w:t xml:space="preserve"> call</w:t>
      </w:r>
      <w:r w:rsidR="008A148F">
        <w:t>s</w:t>
      </w:r>
      <w:r w:rsidR="0083132B">
        <w:t xml:space="preserve"> Strawson’s analysis</w:t>
      </w:r>
      <w:r w:rsidR="00F42A24">
        <w:t xml:space="preserve"> into question. </w:t>
      </w:r>
      <w:r w:rsidR="0083132B">
        <w:t xml:space="preserve">Moreover, </w:t>
      </w:r>
      <w:r w:rsidR="00620F38">
        <w:t xml:space="preserve">even granting it is not the case believing p constitutively entails endorsing p, if (3) </w:t>
      </w:r>
      <w:r w:rsidR="00547ABA">
        <w:t>and (4) are off the table</w:t>
      </w:r>
      <w:r w:rsidR="00620F38">
        <w:t xml:space="preserve">, this says nothing about the relationship between believing and believing something to be true. </w:t>
      </w:r>
      <w:r w:rsidR="0083132B">
        <w:t xml:space="preserve">In other words, we are faced with a dilemma. Either we add Strawson to Frede and accept the problematic consequences, or we settle with Frede absent a robust way to make sense of the notion of truth he is employing to characterize the Skeptics. </w:t>
      </w:r>
    </w:p>
    <w:p w14:paraId="050AA429" w14:textId="7222E6EF" w:rsidR="00B00BCA" w:rsidRDefault="001F591A" w:rsidP="00840582">
      <w:pPr>
        <w:spacing w:line="480" w:lineRule="auto"/>
      </w:pPr>
      <w:r>
        <w:tab/>
      </w:r>
      <w:r w:rsidR="002B6FC0">
        <w:t>Bu</w:t>
      </w:r>
      <w:r w:rsidR="00A65B42">
        <w:t>t perhaps the dilemma is not so bad</w:t>
      </w:r>
      <w:r w:rsidR="002B6FC0">
        <w:t>.</w:t>
      </w:r>
      <w:r w:rsidR="00B00BCA">
        <w:t xml:space="preserve"> Granting the counterexample undermines appealing to (3) and (4), why should this be a problem for Frede</w:t>
      </w:r>
      <w:r w:rsidR="007157FB">
        <w:t xml:space="preserve"> or the Skeptics</w:t>
      </w:r>
      <w:r w:rsidR="00B00BCA">
        <w:t xml:space="preserve">? </w:t>
      </w:r>
      <w:r w:rsidR="00085071">
        <w:t xml:space="preserve">Frede rejects characterizations of Skeptics with (1), but accepts (2). We took this to suggest Frede was attributing a non-standard notion of truth to the Skeptic, while perhaps attributing a standard notion of truth to the Dogmatist. Moreover, we took motivation for this distinction from </w:t>
      </w:r>
      <w:r w:rsidR="00B00BCA">
        <w:t>Frede’</w:t>
      </w:r>
      <w:r w:rsidR="00085071">
        <w:t xml:space="preserve">s remarks concerning believing </w:t>
      </w:r>
      <w:r w:rsidR="00B00BCA">
        <w:t>as having</w:t>
      </w:r>
      <w:r w:rsidR="00085071">
        <w:t xml:space="preserve"> a view and believing</w:t>
      </w:r>
      <w:r w:rsidR="00B00BCA">
        <w:t xml:space="preserve"> as taking a position.</w:t>
      </w:r>
      <w:r w:rsidR="00085071">
        <w:t xml:space="preserve"> </w:t>
      </w:r>
      <w:r w:rsidR="00F30DF6">
        <w:t>Strawson’s performative theory of truth was then employed to add substance</w:t>
      </w:r>
      <w:r w:rsidR="007157FB">
        <w:t xml:space="preserve"> to this distinction</w:t>
      </w:r>
      <w:r w:rsidR="00F30DF6">
        <w:t xml:space="preserve">. </w:t>
      </w:r>
      <w:r w:rsidR="00822BDC">
        <w:t xml:space="preserve">Under scrutiny, however, it was revealed this theory has counterintuitive consequences. </w:t>
      </w:r>
      <w:r w:rsidR="00B00BCA">
        <w:t xml:space="preserve">Observe, however, issues with Strawson’s analysis do not trouble characterizing the Skeptics as holding a non-standard notion of truth </w:t>
      </w:r>
      <w:r w:rsidR="007157FB">
        <w:t xml:space="preserve">directly. </w:t>
      </w:r>
      <w:r w:rsidR="00B00BCA">
        <w:t>This is because the counterexample touches only the analysis, and so only the justi</w:t>
      </w:r>
      <w:r w:rsidR="00493991">
        <w:t>fication for (3) and (4)</w:t>
      </w:r>
      <w:r w:rsidR="00B00BCA">
        <w:t xml:space="preserve">. </w:t>
      </w:r>
      <w:r w:rsidR="00822BDC">
        <w:t>We w</w:t>
      </w:r>
      <w:r w:rsidR="00A65B42">
        <w:t>ould perhaps do better to</w:t>
      </w:r>
      <w:r w:rsidR="00822BDC">
        <w:t xml:space="preserve"> drop Strawson’s analysis, but </w:t>
      </w:r>
      <w:r w:rsidR="00A65B42">
        <w:t xml:space="preserve">this need not leave us without a way to </w:t>
      </w:r>
      <w:r w:rsidR="00A65B42">
        <w:lastRenderedPageBreak/>
        <w:t xml:space="preserve">make sense of Frede. For we still may </w:t>
      </w:r>
      <w:r w:rsidR="00822BDC">
        <w:t xml:space="preserve">maintain Frede as characterizing the Skeptics with a non-standard notion of truth. </w:t>
      </w:r>
      <w:r w:rsidR="00A65B42">
        <w:t xml:space="preserve">That is, the second horn of the dilemma is not so bad. </w:t>
      </w:r>
    </w:p>
    <w:p w14:paraId="2880C24A" w14:textId="77777777" w:rsidR="00A65B42" w:rsidRDefault="00493991" w:rsidP="00A65B42">
      <w:pPr>
        <w:spacing w:line="480" w:lineRule="auto"/>
      </w:pPr>
      <w:r>
        <w:tab/>
      </w:r>
      <w:r w:rsidR="002B6FC0">
        <w:t>I</w:t>
      </w:r>
      <w:r>
        <w:t>t is of course possible to drop Strawson’</w:t>
      </w:r>
      <w:r w:rsidR="002B6FC0">
        <w:t>s contribution</w:t>
      </w:r>
      <w:r>
        <w:t xml:space="preserve">. </w:t>
      </w:r>
      <w:r w:rsidR="005F6218">
        <w:t>Indeed, doing so leaves us where we were just prior to introducing Strawson.</w:t>
      </w:r>
      <w:r w:rsidR="005F6218">
        <w:rPr>
          <w:rStyle w:val="FootnoteReference"/>
        </w:rPr>
        <w:footnoteReference w:id="64"/>
      </w:r>
      <w:r w:rsidR="005F6218">
        <w:t xml:space="preserve"> </w:t>
      </w:r>
      <w:r w:rsidR="002B6FC0">
        <w:t>The problem remaining, however, is that this</w:t>
      </w:r>
      <w:r>
        <w:t xml:space="preserve"> leaves us unclear as to how believing understood as having a view is distinct from believing understood as taking a position. We can no doubt </w:t>
      </w:r>
      <w:r>
        <w:rPr>
          <w:i/>
        </w:rPr>
        <w:t xml:space="preserve">say </w:t>
      </w:r>
      <w:r>
        <w:t>the latter, but not the former, is truth-directed. But if we in</w:t>
      </w:r>
      <w:r w:rsidR="002B6FC0">
        <w:t xml:space="preserve">tend to maintain each is </w:t>
      </w:r>
      <w:r w:rsidR="002B6FC0">
        <w:rPr>
          <w:i/>
        </w:rPr>
        <w:t>belief</w:t>
      </w:r>
      <w:r>
        <w:t xml:space="preserve">, notions of truth must be distinguished. We can no doubt </w:t>
      </w:r>
      <w:r>
        <w:rPr>
          <w:i/>
        </w:rPr>
        <w:t>say</w:t>
      </w:r>
      <w:r>
        <w:t xml:space="preserve"> the Skeptics, but not the Dogmatists, hold a non-standard notion of truth. But absent </w:t>
      </w:r>
      <w:r w:rsidR="005F6218">
        <w:t>an explanation for what this notion of truth amounts to, making such claims seems to do nothing more than place new names on the metaphors employed to motivate the distinction</w:t>
      </w:r>
      <w:r w:rsidR="002B6FC0">
        <w:t xml:space="preserve"> in the first place</w:t>
      </w:r>
      <w:r w:rsidR="005F6218">
        <w:t xml:space="preserve">. </w:t>
      </w:r>
    </w:p>
    <w:p w14:paraId="2299AE70" w14:textId="6EAA542A" w:rsidR="00775BBF" w:rsidRDefault="00A65B42" w:rsidP="00A65B42">
      <w:pPr>
        <w:spacing w:line="480" w:lineRule="auto"/>
        <w:ind w:firstLine="720"/>
      </w:pPr>
      <w:r>
        <w:t>Nevertheless</w:t>
      </w:r>
      <w:r w:rsidR="005F6218">
        <w:t>, t</w:t>
      </w:r>
      <w:r w:rsidR="00D74402">
        <w:t>he</w:t>
      </w:r>
      <w:r w:rsidR="005F6218">
        <w:t>re is something to the</w:t>
      </w:r>
      <w:r>
        <w:t xml:space="preserve"> proposal</w:t>
      </w:r>
      <w:r w:rsidR="00D74402">
        <w:t>. Perhaps</w:t>
      </w:r>
      <w:r>
        <w:t xml:space="preserve"> Strawson’s performative theory of truth</w:t>
      </w:r>
      <w:r w:rsidR="00567E0F">
        <w:t xml:space="preserve"> was </w:t>
      </w:r>
      <w:r>
        <w:t xml:space="preserve">simply </w:t>
      </w:r>
      <w:r w:rsidR="00567E0F">
        <w:t xml:space="preserve">not the most appropriate for our purposes. </w:t>
      </w:r>
      <w:r w:rsidR="00D74402">
        <w:t xml:space="preserve">As observed above, Frede’s remarks concerning the “equivalence” of particular propositions </w:t>
      </w:r>
      <w:r>
        <w:t xml:space="preserve">still </w:t>
      </w:r>
      <w:r w:rsidR="00D74402">
        <w:t>suggests a deflationary notion of truth is appropriate.</w:t>
      </w:r>
      <w:r w:rsidR="00D74402">
        <w:rPr>
          <w:rStyle w:val="FootnoteReference"/>
        </w:rPr>
        <w:footnoteReference w:id="65"/>
      </w:r>
      <w:r w:rsidR="00D74402">
        <w:t xml:space="preserve"> Putting Strawson aside, t</w:t>
      </w:r>
      <w:r w:rsidR="00567E0F">
        <w:t>h</w:t>
      </w:r>
      <w:r w:rsidR="00D74402">
        <w:t>ere are alternative deflationary</w:t>
      </w:r>
      <w:r w:rsidR="00567E0F">
        <w:t xml:space="preserve"> notions of truth which may fit better with Frede’s proposal.</w:t>
      </w:r>
      <w:r w:rsidR="00567E0F">
        <w:rPr>
          <w:rStyle w:val="FootnoteReference"/>
        </w:rPr>
        <w:footnoteReference w:id="66"/>
      </w:r>
      <w:r w:rsidR="00567E0F">
        <w:t xml:space="preserve"> </w:t>
      </w:r>
      <w:r w:rsidR="005F6218">
        <w:t>Unfortunately, we must</w:t>
      </w:r>
      <w:r w:rsidR="00D74402">
        <w:t xml:space="preserve"> put such discussions aside for a later time. </w:t>
      </w:r>
    </w:p>
    <w:p w14:paraId="6509DEB2" w14:textId="4EEB37D9" w:rsidR="00A954A1" w:rsidRPr="0063332E" w:rsidRDefault="00EA65B6" w:rsidP="006F2DF7">
      <w:pPr>
        <w:spacing w:line="360" w:lineRule="auto"/>
        <w:jc w:val="center"/>
        <w:rPr>
          <w:b/>
        </w:rPr>
      </w:pPr>
      <w:r>
        <w:rPr>
          <w:b/>
        </w:rPr>
        <w:t>Section 3</w:t>
      </w:r>
      <w:r w:rsidR="00A954A1" w:rsidRPr="0063332E">
        <w:rPr>
          <w:b/>
        </w:rPr>
        <w:t>: Conclusion</w:t>
      </w:r>
    </w:p>
    <w:p w14:paraId="20D1366B" w14:textId="0951F6A3" w:rsidR="00691819" w:rsidRPr="00686D74" w:rsidRDefault="005F6218" w:rsidP="00686D74">
      <w:pPr>
        <w:spacing w:line="480" w:lineRule="auto"/>
      </w:pPr>
      <w:r>
        <w:t xml:space="preserve">We began with a question: </w:t>
      </w:r>
      <w:r w:rsidR="00EC225A">
        <w:t>Do the Skeptics have belief</w:t>
      </w:r>
      <w:r w:rsidR="00D74402">
        <w:t>s?</w:t>
      </w:r>
      <w:r w:rsidR="00EC225A">
        <w:t xml:space="preserve"> We have attempted to make sense of Frede’s </w:t>
      </w:r>
      <w:r w:rsidR="008C794D">
        <w:t xml:space="preserve">obscure </w:t>
      </w:r>
      <w:r w:rsidR="00EC225A">
        <w:t>proposal which claims Skeptics have beliefs, and quite</w:t>
      </w:r>
      <w:r w:rsidR="008C794D">
        <w:t xml:space="preserve"> a lot of them. </w:t>
      </w:r>
      <w:r w:rsidR="00E964C6">
        <w:t>O</w:t>
      </w:r>
      <w:r w:rsidR="00A65B42">
        <w:t>ne perplexing feature of Frede</w:t>
      </w:r>
      <w:r w:rsidR="00E964C6">
        <w:t xml:space="preserve"> concerns his rejection of belief as truth-</w:t>
      </w:r>
      <w:r>
        <w:t>directed.</w:t>
      </w:r>
      <w:r w:rsidR="00A65B42">
        <w:t xml:space="preserve"> A recent proposed explanation</w:t>
      </w:r>
      <w:r w:rsidR="00E964C6">
        <w:t xml:space="preserve"> suggests</w:t>
      </w:r>
      <w:r w:rsidR="00D74402">
        <w:t xml:space="preserve"> Frede’s Skeptics are understood as adopting a Strawsonian performative theory </w:t>
      </w:r>
      <w:r w:rsidR="00E964C6">
        <w:t xml:space="preserve">of truth. However, </w:t>
      </w:r>
      <w:r w:rsidR="00D74402">
        <w:t>scrutiny revealed such a proposal comes with un</w:t>
      </w:r>
      <w:bookmarkStart w:id="0" w:name="_GoBack"/>
      <w:bookmarkEnd w:id="0"/>
      <w:r w:rsidR="00D74402">
        <w:t>desirable costs</w:t>
      </w:r>
      <w:r w:rsidR="00EC225A">
        <w:t>.</w:t>
      </w:r>
      <w:r w:rsidR="00E964C6">
        <w:t xml:space="preserve"> This is not to say Frede’s </w:t>
      </w:r>
      <w:r w:rsidR="00E964C6">
        <w:lastRenderedPageBreak/>
        <w:t xml:space="preserve">proposal is doomed, however. Arguably, Frede was in fact employing a deflationary theory of truth in his characterization of the Skeptics. It is plausible we simply have not examined his characterization of the Skeptics in light of the right one. </w:t>
      </w:r>
    </w:p>
    <w:p w14:paraId="77692B18" w14:textId="77777777" w:rsidR="00E21CFC" w:rsidRDefault="00E21CFC" w:rsidP="00E21CFC">
      <w:pPr>
        <w:jc w:val="center"/>
        <w:rPr>
          <w:b/>
        </w:rPr>
      </w:pPr>
      <w:r w:rsidRPr="00EA16A2">
        <w:rPr>
          <w:b/>
        </w:rPr>
        <w:t>Works Cited</w:t>
      </w:r>
    </w:p>
    <w:p w14:paraId="6A760846" w14:textId="77777777" w:rsidR="006A68DA" w:rsidRPr="00EA16A2" w:rsidRDefault="006A68DA" w:rsidP="00E21CFC">
      <w:pPr>
        <w:jc w:val="center"/>
        <w:rPr>
          <w:b/>
        </w:rPr>
      </w:pPr>
    </w:p>
    <w:p w14:paraId="492CFE01" w14:textId="1E43F65C" w:rsidR="00C87453" w:rsidRPr="00C87453" w:rsidRDefault="00C87453" w:rsidP="00C87453">
      <w:pPr>
        <w:spacing w:line="360" w:lineRule="auto"/>
        <w:ind w:left="720" w:hanging="720"/>
        <w:rPr>
          <w:rFonts w:cs="Times New Roman"/>
          <w:sz w:val="20"/>
          <w:szCs w:val="20"/>
        </w:rPr>
      </w:pPr>
      <w:r w:rsidRPr="00C87453">
        <w:rPr>
          <w:rFonts w:cs="Times New Roman"/>
          <w:sz w:val="20"/>
          <w:szCs w:val="20"/>
        </w:rPr>
        <w:t xml:space="preserve">Aristotle. (1991). “Complete Works of Aristotle Volume II.” ed. Barnes, J. </w:t>
      </w:r>
      <w:r w:rsidRPr="00C87453">
        <w:rPr>
          <w:rFonts w:cs="Times New Roman"/>
          <w:i/>
          <w:sz w:val="20"/>
          <w:szCs w:val="20"/>
        </w:rPr>
        <w:t>The Complete Works of Aristotle</w:t>
      </w:r>
      <w:r w:rsidRPr="00C87453">
        <w:rPr>
          <w:rFonts w:cs="Times New Roman"/>
          <w:sz w:val="20"/>
          <w:szCs w:val="20"/>
        </w:rPr>
        <w:t xml:space="preserve">. Princeton University Press, Princeton, N.J.  </w:t>
      </w:r>
    </w:p>
    <w:p w14:paraId="18A73A65" w14:textId="77777777" w:rsidR="00E21CFC" w:rsidRPr="00C87453" w:rsidRDefault="00E21CFC" w:rsidP="00C87453">
      <w:pPr>
        <w:spacing w:line="360" w:lineRule="auto"/>
        <w:ind w:left="720" w:hanging="720"/>
        <w:rPr>
          <w:i/>
          <w:sz w:val="20"/>
          <w:szCs w:val="20"/>
        </w:rPr>
      </w:pPr>
      <w:r w:rsidRPr="00C87453">
        <w:rPr>
          <w:sz w:val="20"/>
          <w:szCs w:val="20"/>
        </w:rPr>
        <w:t xml:space="preserve">Baltzly, D. (2013). “Stoicism.” </w:t>
      </w:r>
      <w:r w:rsidRPr="00C87453">
        <w:rPr>
          <w:i/>
          <w:sz w:val="20"/>
          <w:szCs w:val="20"/>
        </w:rPr>
        <w:t xml:space="preserve">Stanford Encyclopedia of Philosophy. </w:t>
      </w:r>
    </w:p>
    <w:p w14:paraId="62780623" w14:textId="77777777" w:rsidR="00E21CFC" w:rsidRPr="00C87453" w:rsidRDefault="00E21CFC" w:rsidP="00C87453">
      <w:pPr>
        <w:spacing w:line="360" w:lineRule="auto"/>
        <w:ind w:left="720" w:hanging="720"/>
        <w:rPr>
          <w:sz w:val="20"/>
          <w:szCs w:val="20"/>
        </w:rPr>
      </w:pPr>
      <w:r w:rsidRPr="00C87453">
        <w:rPr>
          <w:sz w:val="20"/>
          <w:szCs w:val="20"/>
        </w:rPr>
        <w:t xml:space="preserve">Barnes, J. (1982). “The Beliefs of a Pyrrhonist.” </w:t>
      </w:r>
      <w:r w:rsidRPr="00C87453">
        <w:rPr>
          <w:i/>
          <w:sz w:val="20"/>
          <w:szCs w:val="20"/>
        </w:rPr>
        <w:t>Proceedings of the Cambridge Philological Society</w:t>
      </w:r>
      <w:r w:rsidRPr="00C87453">
        <w:rPr>
          <w:sz w:val="20"/>
          <w:szCs w:val="20"/>
        </w:rPr>
        <w:t xml:space="preserve">. Pg. 1-29. </w:t>
      </w:r>
    </w:p>
    <w:p w14:paraId="31905790" w14:textId="77777777" w:rsidR="00E21CFC" w:rsidRPr="00C87453" w:rsidRDefault="00E21CFC" w:rsidP="00E21CFC">
      <w:pPr>
        <w:spacing w:line="360" w:lineRule="auto"/>
        <w:ind w:left="720" w:hanging="720"/>
        <w:rPr>
          <w:sz w:val="20"/>
          <w:szCs w:val="20"/>
        </w:rPr>
      </w:pPr>
      <w:r w:rsidRPr="00C87453">
        <w:rPr>
          <w:sz w:val="20"/>
          <w:szCs w:val="20"/>
        </w:rPr>
        <w:t xml:space="preserve">Brennan, T. &amp; Roberts, C. (forthcoming). “Sextus Empiricus.” </w:t>
      </w:r>
      <w:r w:rsidRPr="00C87453">
        <w:rPr>
          <w:i/>
          <w:sz w:val="20"/>
          <w:szCs w:val="20"/>
        </w:rPr>
        <w:t>Skepticism: From Antiquity to the Present</w:t>
      </w:r>
      <w:r w:rsidRPr="00C87453">
        <w:rPr>
          <w:sz w:val="20"/>
          <w:szCs w:val="20"/>
        </w:rPr>
        <w:t xml:space="preserve">. Ed. Machuca, E. &amp; Reed, B. Bloomsbury Publishing. </w:t>
      </w:r>
    </w:p>
    <w:p w14:paraId="097C09E8" w14:textId="77777777" w:rsidR="00E21CFC" w:rsidRPr="00C87453" w:rsidRDefault="00E21CFC" w:rsidP="00E21CFC">
      <w:pPr>
        <w:spacing w:line="360" w:lineRule="auto"/>
        <w:ind w:left="720" w:hanging="720"/>
        <w:rPr>
          <w:sz w:val="20"/>
          <w:szCs w:val="20"/>
        </w:rPr>
      </w:pPr>
      <w:r w:rsidRPr="00C87453">
        <w:rPr>
          <w:sz w:val="20"/>
          <w:szCs w:val="20"/>
        </w:rPr>
        <w:t xml:space="preserve">Burnyeat. M. F. (1980). “Can the Sceptic Live His Scepticism?” in </w:t>
      </w:r>
      <w:r w:rsidRPr="00C87453">
        <w:rPr>
          <w:i/>
          <w:sz w:val="20"/>
          <w:szCs w:val="20"/>
        </w:rPr>
        <w:t>Doubt and Dogmatism: Studies in Hellenistic Epistemology</w:t>
      </w:r>
      <w:r w:rsidRPr="00C87453">
        <w:rPr>
          <w:sz w:val="20"/>
          <w:szCs w:val="20"/>
        </w:rPr>
        <w:t xml:space="preserve">. Ed. Schofield, M. Burnyeat. M.F. Barnes, J. Oxford: Oxford University Press, pp. 20-53. </w:t>
      </w:r>
    </w:p>
    <w:p w14:paraId="7694AD8B" w14:textId="77777777" w:rsidR="00E21CFC" w:rsidRPr="00C87453" w:rsidRDefault="00E21CFC" w:rsidP="00E21CFC">
      <w:pPr>
        <w:spacing w:line="360" w:lineRule="auto"/>
        <w:ind w:left="720" w:hanging="720"/>
        <w:rPr>
          <w:sz w:val="20"/>
          <w:szCs w:val="20"/>
        </w:rPr>
      </w:pPr>
      <w:r w:rsidRPr="00C87453">
        <w:rPr>
          <w:sz w:val="20"/>
          <w:szCs w:val="20"/>
        </w:rPr>
        <w:t xml:space="preserve">Burnyeat, M.F. (1982). “The Sceptic in his Place and Time.” </w:t>
      </w:r>
      <w:r w:rsidRPr="00C87453">
        <w:rPr>
          <w:i/>
          <w:sz w:val="20"/>
          <w:szCs w:val="20"/>
        </w:rPr>
        <w:t>Philosophy in History: Essays on the Historiography of Philosophy</w:t>
      </w:r>
      <w:r w:rsidRPr="00C87453">
        <w:rPr>
          <w:sz w:val="20"/>
          <w:szCs w:val="20"/>
        </w:rPr>
        <w:t xml:space="preserve">. Pgs. 225-254. </w:t>
      </w:r>
    </w:p>
    <w:p w14:paraId="40D2AA67" w14:textId="77777777" w:rsidR="00E21CFC" w:rsidRPr="00C87453" w:rsidRDefault="00E21CFC" w:rsidP="00E21CFC">
      <w:pPr>
        <w:spacing w:line="360" w:lineRule="auto"/>
        <w:ind w:left="720" w:hanging="720"/>
        <w:rPr>
          <w:sz w:val="20"/>
          <w:szCs w:val="20"/>
        </w:rPr>
      </w:pPr>
      <w:r w:rsidRPr="00C87453">
        <w:rPr>
          <w:sz w:val="20"/>
          <w:szCs w:val="20"/>
        </w:rPr>
        <w:t xml:space="preserve">Empiricus, S. (2007). “Outlines of Scepticism.” Ed. Annas, J. &amp; Barnes, J. Cambridge University Press. </w:t>
      </w:r>
    </w:p>
    <w:p w14:paraId="6CE00376" w14:textId="77777777" w:rsidR="00E21CFC" w:rsidRPr="00C87453" w:rsidRDefault="00E21CFC" w:rsidP="00E21CFC">
      <w:pPr>
        <w:spacing w:line="360" w:lineRule="auto"/>
        <w:ind w:left="720" w:hanging="720"/>
        <w:rPr>
          <w:sz w:val="20"/>
          <w:szCs w:val="20"/>
        </w:rPr>
      </w:pPr>
      <w:r w:rsidRPr="00C87453">
        <w:rPr>
          <w:sz w:val="20"/>
          <w:szCs w:val="20"/>
        </w:rPr>
        <w:t xml:space="preserve">Fine, G. (2000). “Sceptical Dogmata: Outlines of Pyrrhonism I.13.” </w:t>
      </w:r>
      <w:r w:rsidRPr="00C87453">
        <w:rPr>
          <w:i/>
          <w:sz w:val="20"/>
          <w:szCs w:val="20"/>
        </w:rPr>
        <w:t>Methexis 12</w:t>
      </w:r>
      <w:r w:rsidRPr="00C87453">
        <w:rPr>
          <w:sz w:val="20"/>
          <w:szCs w:val="20"/>
        </w:rPr>
        <w:t xml:space="preserve">. Pgs. 81-105. </w:t>
      </w:r>
    </w:p>
    <w:p w14:paraId="68F1C219" w14:textId="77777777" w:rsidR="00E21CFC" w:rsidRPr="00C87453" w:rsidRDefault="00E21CFC" w:rsidP="00E21CFC">
      <w:pPr>
        <w:spacing w:line="360" w:lineRule="auto"/>
        <w:ind w:left="720" w:hanging="720"/>
        <w:rPr>
          <w:sz w:val="20"/>
          <w:szCs w:val="20"/>
        </w:rPr>
      </w:pPr>
      <w:r w:rsidRPr="00C87453">
        <w:rPr>
          <w:sz w:val="20"/>
          <w:szCs w:val="20"/>
        </w:rPr>
        <w:t xml:space="preserve">Frede, M. (1979). “The Skeptic’s Beliefs.” Reprinted in </w:t>
      </w:r>
      <w:r w:rsidRPr="00C87453">
        <w:rPr>
          <w:i/>
          <w:sz w:val="20"/>
          <w:szCs w:val="20"/>
        </w:rPr>
        <w:t>Essays in Ancient Philosophy</w:t>
      </w:r>
      <w:r w:rsidRPr="00C87453">
        <w:rPr>
          <w:sz w:val="20"/>
          <w:szCs w:val="20"/>
        </w:rPr>
        <w:t>. Pg. 179-200</w:t>
      </w:r>
    </w:p>
    <w:p w14:paraId="1DB01938" w14:textId="77777777" w:rsidR="00E21CFC" w:rsidRPr="00C87453" w:rsidRDefault="00E21CFC" w:rsidP="00E21CFC">
      <w:pPr>
        <w:spacing w:line="360" w:lineRule="auto"/>
        <w:ind w:left="720" w:hanging="720"/>
        <w:rPr>
          <w:sz w:val="20"/>
          <w:szCs w:val="20"/>
        </w:rPr>
      </w:pPr>
      <w:r w:rsidRPr="00C87453">
        <w:rPr>
          <w:sz w:val="20"/>
          <w:szCs w:val="20"/>
        </w:rPr>
        <w:t xml:space="preserve">Frede, M. (1984). “The Sceptic’s Two Kinds of Assent and the Question of the Possibility of Knowledge.” Reprinted in </w:t>
      </w:r>
      <w:r w:rsidRPr="00C87453">
        <w:rPr>
          <w:i/>
          <w:sz w:val="20"/>
          <w:szCs w:val="20"/>
        </w:rPr>
        <w:t>Essays in Ancient Philosophy</w:t>
      </w:r>
      <w:r w:rsidRPr="00C87453">
        <w:rPr>
          <w:sz w:val="20"/>
          <w:szCs w:val="20"/>
        </w:rPr>
        <w:t>. Pg. 201-224</w:t>
      </w:r>
    </w:p>
    <w:p w14:paraId="07C42E8C" w14:textId="77777777" w:rsidR="00E21CFC" w:rsidRPr="00C87453" w:rsidRDefault="00E21CFC" w:rsidP="00E21CFC">
      <w:pPr>
        <w:spacing w:line="360" w:lineRule="auto"/>
        <w:ind w:left="720" w:hanging="720"/>
        <w:rPr>
          <w:sz w:val="20"/>
          <w:szCs w:val="20"/>
        </w:rPr>
      </w:pPr>
      <w:r w:rsidRPr="00C87453">
        <w:rPr>
          <w:sz w:val="20"/>
          <w:szCs w:val="20"/>
        </w:rPr>
        <w:t xml:space="preserve">Grgic, F. (2017). “Apraxia, Appearance, and Beliefs: The Pyrrhonists’ Way Out. </w:t>
      </w:r>
    </w:p>
    <w:p w14:paraId="0C3A62FD" w14:textId="77777777" w:rsidR="00E21CFC" w:rsidRPr="00C87453" w:rsidRDefault="00E21CFC" w:rsidP="00E21CFC">
      <w:pPr>
        <w:spacing w:line="360" w:lineRule="auto"/>
        <w:ind w:left="720" w:hanging="720"/>
        <w:rPr>
          <w:sz w:val="20"/>
          <w:szCs w:val="20"/>
        </w:rPr>
      </w:pPr>
      <w:r w:rsidRPr="00C87453">
        <w:rPr>
          <w:sz w:val="20"/>
          <w:szCs w:val="20"/>
        </w:rPr>
        <w:t xml:space="preserve">Hankinson, R.J. (2003). “Stoic Epistemology.” </w:t>
      </w:r>
      <w:r w:rsidRPr="00C87453">
        <w:rPr>
          <w:i/>
          <w:sz w:val="20"/>
          <w:szCs w:val="20"/>
        </w:rPr>
        <w:t>The Cambridge Companion to the Stoics</w:t>
      </w:r>
      <w:r w:rsidRPr="00C87453">
        <w:rPr>
          <w:sz w:val="20"/>
          <w:szCs w:val="20"/>
        </w:rPr>
        <w:t xml:space="preserve">. Ed. Inwood. B. </w:t>
      </w:r>
    </w:p>
    <w:p w14:paraId="421670EF" w14:textId="039B15F4" w:rsidR="0059211B" w:rsidRPr="0059211B" w:rsidRDefault="0059211B" w:rsidP="00E21CFC">
      <w:pPr>
        <w:spacing w:line="360" w:lineRule="auto"/>
        <w:ind w:left="720" w:hanging="720"/>
        <w:rPr>
          <w:sz w:val="20"/>
          <w:szCs w:val="20"/>
        </w:rPr>
      </w:pPr>
      <w:r>
        <w:rPr>
          <w:sz w:val="20"/>
          <w:szCs w:val="20"/>
        </w:rPr>
        <w:t xml:space="preserve">Horwich, P. (1988). “Truth.” Oxford. </w:t>
      </w:r>
      <w:r>
        <w:rPr>
          <w:i/>
          <w:sz w:val="20"/>
          <w:szCs w:val="20"/>
        </w:rPr>
        <w:t>Clarendon Press</w:t>
      </w:r>
      <w:r>
        <w:rPr>
          <w:sz w:val="20"/>
          <w:szCs w:val="20"/>
        </w:rPr>
        <w:t xml:space="preserve">. </w:t>
      </w:r>
    </w:p>
    <w:p w14:paraId="36F44B3E" w14:textId="77777777" w:rsidR="00E21CFC" w:rsidRPr="00C87453" w:rsidRDefault="00E21CFC" w:rsidP="00E21CFC">
      <w:pPr>
        <w:spacing w:line="360" w:lineRule="auto"/>
        <w:ind w:left="720" w:hanging="720"/>
        <w:rPr>
          <w:sz w:val="20"/>
          <w:szCs w:val="20"/>
        </w:rPr>
      </w:pPr>
      <w:r w:rsidRPr="00C87453">
        <w:rPr>
          <w:sz w:val="20"/>
          <w:szCs w:val="20"/>
        </w:rPr>
        <w:t xml:space="preserve">Morison, B. (2011). “The Logical Structure of Skeptic’s Opposition.” </w:t>
      </w:r>
      <w:r w:rsidRPr="00C87453">
        <w:rPr>
          <w:i/>
          <w:sz w:val="20"/>
          <w:szCs w:val="20"/>
        </w:rPr>
        <w:t>Oxford Studies in Ancient Philosophy</w:t>
      </w:r>
      <w:r w:rsidRPr="00C87453">
        <w:rPr>
          <w:sz w:val="20"/>
          <w:szCs w:val="20"/>
        </w:rPr>
        <w:t>. Essays in Honor of Michael Frede. Pgs. 265-295</w:t>
      </w:r>
    </w:p>
    <w:p w14:paraId="54F7605D" w14:textId="77777777" w:rsidR="00E21CFC" w:rsidRPr="00C87453" w:rsidRDefault="00E21CFC" w:rsidP="00E21CFC">
      <w:pPr>
        <w:spacing w:line="360" w:lineRule="auto"/>
        <w:ind w:left="720" w:hanging="720"/>
        <w:rPr>
          <w:i/>
          <w:sz w:val="20"/>
          <w:szCs w:val="20"/>
        </w:rPr>
      </w:pPr>
      <w:r w:rsidRPr="00C87453">
        <w:rPr>
          <w:sz w:val="20"/>
          <w:szCs w:val="20"/>
        </w:rPr>
        <w:t xml:space="preserve">Morison, B. (2014). “Sextus Empiricus.” </w:t>
      </w:r>
      <w:r w:rsidRPr="00C87453">
        <w:rPr>
          <w:i/>
          <w:sz w:val="20"/>
          <w:szCs w:val="20"/>
        </w:rPr>
        <w:t>Stanford Encyclopedia of Philosophy</w:t>
      </w:r>
    </w:p>
    <w:p w14:paraId="3138BDA2" w14:textId="77777777" w:rsidR="00E21CFC" w:rsidRPr="00C87453" w:rsidRDefault="00E21CFC" w:rsidP="00E21CFC">
      <w:pPr>
        <w:spacing w:line="360" w:lineRule="auto"/>
        <w:ind w:left="720" w:hanging="720"/>
        <w:rPr>
          <w:sz w:val="20"/>
          <w:szCs w:val="20"/>
        </w:rPr>
      </w:pPr>
      <w:r w:rsidRPr="00C87453">
        <w:rPr>
          <w:sz w:val="20"/>
          <w:szCs w:val="20"/>
        </w:rPr>
        <w:t xml:space="preserve">Perin, C. (2010). “The Demands of Reason: An Essay on Pyrrhonian Scepticism.” Oxford: Oxford University Press. </w:t>
      </w:r>
    </w:p>
    <w:p w14:paraId="37C93D36" w14:textId="40E4A8B5" w:rsidR="00C87453" w:rsidRPr="00C87453" w:rsidRDefault="00C87453" w:rsidP="00E21CFC">
      <w:pPr>
        <w:spacing w:line="360" w:lineRule="auto"/>
        <w:ind w:left="720" w:hanging="720"/>
        <w:rPr>
          <w:i/>
          <w:sz w:val="20"/>
          <w:szCs w:val="20"/>
        </w:rPr>
      </w:pPr>
      <w:r>
        <w:rPr>
          <w:sz w:val="20"/>
          <w:szCs w:val="20"/>
        </w:rPr>
        <w:t xml:space="preserve">Chappell, S. G. (2013). “Plato on Knowledge in the Theaetetus.” </w:t>
      </w:r>
      <w:r>
        <w:rPr>
          <w:i/>
          <w:sz w:val="20"/>
          <w:szCs w:val="20"/>
        </w:rPr>
        <w:t xml:space="preserve">Stanford Encyclopedia of Philosophy. </w:t>
      </w:r>
    </w:p>
    <w:p w14:paraId="68CFAE44" w14:textId="77777777" w:rsidR="00E21CFC" w:rsidRPr="00C87453" w:rsidRDefault="00E21CFC" w:rsidP="00E21CFC">
      <w:pPr>
        <w:spacing w:line="360" w:lineRule="auto"/>
        <w:ind w:left="720" w:hanging="720"/>
        <w:rPr>
          <w:sz w:val="20"/>
          <w:szCs w:val="20"/>
        </w:rPr>
      </w:pPr>
      <w:r w:rsidRPr="00C87453">
        <w:rPr>
          <w:sz w:val="20"/>
          <w:szCs w:val="20"/>
        </w:rPr>
        <w:t xml:space="preserve">Strawson, P.F. (1949). “Truth.” </w:t>
      </w:r>
      <w:r w:rsidRPr="00C87453">
        <w:rPr>
          <w:i/>
          <w:sz w:val="20"/>
          <w:szCs w:val="20"/>
        </w:rPr>
        <w:t>Analysis</w:t>
      </w:r>
      <w:r w:rsidRPr="00C87453">
        <w:rPr>
          <w:sz w:val="20"/>
          <w:szCs w:val="20"/>
        </w:rPr>
        <w:t xml:space="preserve">. 9(6):83-97. </w:t>
      </w:r>
    </w:p>
    <w:p w14:paraId="025D4C4F" w14:textId="77777777" w:rsidR="00E21CFC" w:rsidRPr="00C87453" w:rsidRDefault="00E21CFC" w:rsidP="00E21CFC">
      <w:pPr>
        <w:spacing w:line="360" w:lineRule="auto"/>
        <w:ind w:left="720" w:hanging="720"/>
        <w:rPr>
          <w:sz w:val="20"/>
          <w:szCs w:val="20"/>
        </w:rPr>
      </w:pPr>
      <w:r w:rsidRPr="00C87453">
        <w:rPr>
          <w:sz w:val="20"/>
          <w:szCs w:val="20"/>
        </w:rPr>
        <w:t xml:space="preserve">Vogt, K. (2010). “Scepticism and Action,” in </w:t>
      </w:r>
      <w:proofErr w:type="spellStart"/>
      <w:r w:rsidRPr="00C87453">
        <w:rPr>
          <w:sz w:val="20"/>
          <w:szCs w:val="20"/>
        </w:rPr>
        <w:t>Bett</w:t>
      </w:r>
      <w:proofErr w:type="spellEnd"/>
      <w:r w:rsidRPr="00C87453">
        <w:rPr>
          <w:sz w:val="20"/>
          <w:szCs w:val="20"/>
        </w:rPr>
        <w:t xml:space="preserve"> (ed.) 2010, pp. 165–180.</w:t>
      </w:r>
    </w:p>
    <w:p w14:paraId="504531DD" w14:textId="77777777" w:rsidR="00E21CFC" w:rsidRPr="00C87453" w:rsidRDefault="00E21CFC" w:rsidP="00E21CFC">
      <w:pPr>
        <w:spacing w:line="360" w:lineRule="auto"/>
        <w:ind w:left="720" w:hanging="720"/>
        <w:rPr>
          <w:sz w:val="20"/>
          <w:szCs w:val="20"/>
        </w:rPr>
      </w:pPr>
      <w:r w:rsidRPr="00C87453">
        <w:rPr>
          <w:sz w:val="20"/>
          <w:szCs w:val="20"/>
        </w:rPr>
        <w:t xml:space="preserve">Vogt, K. (2011). “The Aims of Skeptical Investigation.” In </w:t>
      </w:r>
      <w:r w:rsidRPr="00C87453">
        <w:rPr>
          <w:i/>
          <w:sz w:val="20"/>
          <w:szCs w:val="20"/>
        </w:rPr>
        <w:t>Pyrrhonism in Ancient, Modern, and Contemporary Philosophy</w:t>
      </w:r>
      <w:r w:rsidRPr="00C87453">
        <w:rPr>
          <w:sz w:val="20"/>
          <w:szCs w:val="20"/>
        </w:rPr>
        <w:t>. Ed. Diego, M. The New Synthese Historical Library. 70. 33-49</w:t>
      </w:r>
    </w:p>
    <w:p w14:paraId="0996C9DA" w14:textId="77777777" w:rsidR="00E21CFC" w:rsidRPr="00C87453" w:rsidRDefault="00E21CFC" w:rsidP="00E21CFC">
      <w:pPr>
        <w:spacing w:line="360" w:lineRule="auto"/>
        <w:ind w:left="720" w:hanging="720"/>
        <w:rPr>
          <w:sz w:val="20"/>
          <w:szCs w:val="20"/>
        </w:rPr>
      </w:pPr>
      <w:r w:rsidRPr="00C87453">
        <w:rPr>
          <w:sz w:val="20"/>
          <w:szCs w:val="20"/>
        </w:rPr>
        <w:t xml:space="preserve">Vogt, K. (2012). “Appearances and Assent: Skeptical Belief Reconsidered.” </w:t>
      </w:r>
      <w:r w:rsidRPr="00C87453">
        <w:rPr>
          <w:i/>
          <w:sz w:val="20"/>
          <w:szCs w:val="20"/>
        </w:rPr>
        <w:t>Classical Quarterly</w:t>
      </w:r>
      <w:r w:rsidRPr="00C87453">
        <w:rPr>
          <w:sz w:val="20"/>
          <w:szCs w:val="20"/>
        </w:rPr>
        <w:t>. 62:648-663</w:t>
      </w:r>
    </w:p>
    <w:p w14:paraId="05C804BE" w14:textId="36C676C4" w:rsidR="003064C6" w:rsidRPr="00C87453" w:rsidRDefault="00E21CFC" w:rsidP="002B6FC0">
      <w:pPr>
        <w:spacing w:line="360" w:lineRule="auto"/>
        <w:ind w:left="720" w:hanging="720"/>
        <w:rPr>
          <w:sz w:val="20"/>
          <w:szCs w:val="20"/>
        </w:rPr>
      </w:pPr>
      <w:r w:rsidRPr="00C87453">
        <w:rPr>
          <w:sz w:val="20"/>
          <w:szCs w:val="20"/>
        </w:rPr>
        <w:t xml:space="preserve">Vogt. K. (2014) “Ancient Skepticism.” </w:t>
      </w:r>
      <w:r w:rsidRPr="00C87453">
        <w:rPr>
          <w:i/>
          <w:sz w:val="20"/>
          <w:szCs w:val="20"/>
        </w:rPr>
        <w:t>Standard Encyclopedia of Philosophy</w:t>
      </w:r>
      <w:r w:rsidRPr="00C87453">
        <w:rPr>
          <w:sz w:val="20"/>
          <w:szCs w:val="20"/>
        </w:rPr>
        <w:t xml:space="preserve">. </w:t>
      </w:r>
    </w:p>
    <w:sectPr w:rsidR="003064C6" w:rsidRPr="00C874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7B97F" w14:textId="77777777" w:rsidR="00F0160A" w:rsidRDefault="00F0160A" w:rsidP="00D10FB5">
      <w:r>
        <w:separator/>
      </w:r>
    </w:p>
  </w:endnote>
  <w:endnote w:type="continuationSeparator" w:id="0">
    <w:p w14:paraId="11A61ADF" w14:textId="77777777" w:rsidR="00F0160A" w:rsidRDefault="00F0160A" w:rsidP="00D1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03371"/>
      <w:docPartObj>
        <w:docPartGallery w:val="Page Numbers (Bottom of Page)"/>
        <w:docPartUnique/>
      </w:docPartObj>
    </w:sdtPr>
    <w:sdtEndPr>
      <w:rPr>
        <w:noProof/>
      </w:rPr>
    </w:sdtEndPr>
    <w:sdtContent>
      <w:p w14:paraId="6A48BBF1" w14:textId="70A437D8" w:rsidR="00085071" w:rsidRDefault="00085071">
        <w:pPr>
          <w:pStyle w:val="Footer"/>
          <w:jc w:val="center"/>
        </w:pPr>
        <w:r>
          <w:fldChar w:fldCharType="begin"/>
        </w:r>
        <w:r>
          <w:instrText xml:space="preserve"> PAGE   \* MERGEFORMAT </w:instrText>
        </w:r>
        <w:r>
          <w:fldChar w:fldCharType="separate"/>
        </w:r>
        <w:r w:rsidR="00A65B42">
          <w:rPr>
            <w:noProof/>
          </w:rPr>
          <w:t>1</w:t>
        </w:r>
        <w:r>
          <w:rPr>
            <w:noProof/>
          </w:rPr>
          <w:fldChar w:fldCharType="end"/>
        </w:r>
      </w:p>
    </w:sdtContent>
  </w:sdt>
  <w:p w14:paraId="062ED4A1" w14:textId="77777777" w:rsidR="00085071" w:rsidRDefault="00085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A4E64" w14:textId="77777777" w:rsidR="00F0160A" w:rsidRDefault="00F0160A" w:rsidP="00D10FB5">
      <w:r>
        <w:separator/>
      </w:r>
    </w:p>
  </w:footnote>
  <w:footnote w:type="continuationSeparator" w:id="0">
    <w:p w14:paraId="7F4CA3D1" w14:textId="77777777" w:rsidR="00F0160A" w:rsidRDefault="00F0160A" w:rsidP="00D10FB5">
      <w:r>
        <w:continuationSeparator/>
      </w:r>
    </w:p>
  </w:footnote>
  <w:footnote w:id="1">
    <w:p w14:paraId="1E077B0C" w14:textId="54F022C6" w:rsidR="00085071" w:rsidRDefault="00085071" w:rsidP="00B965EC">
      <w:pPr>
        <w:pStyle w:val="FootnoteText"/>
        <w:ind w:left="180" w:hanging="180"/>
      </w:pPr>
      <w:r>
        <w:rPr>
          <w:rStyle w:val="FootnoteReference"/>
        </w:rPr>
        <w:footnoteRef/>
      </w:r>
      <w:r>
        <w:t xml:space="preserve">Unless stated otherwise, all references are to the Annas &amp; Barnes translation (Annas &amp; Barnes, 2007) </w:t>
      </w:r>
    </w:p>
  </w:footnote>
  <w:footnote w:id="2">
    <w:p w14:paraId="19DB87B3" w14:textId="1A6B5659" w:rsidR="00085071" w:rsidRPr="005D637C" w:rsidRDefault="00085071" w:rsidP="00B965EC">
      <w:pPr>
        <w:pStyle w:val="FootnoteText"/>
        <w:tabs>
          <w:tab w:val="left" w:pos="180"/>
        </w:tabs>
        <w:ind w:left="180" w:hanging="180"/>
      </w:pPr>
      <w:r w:rsidRPr="005D637C">
        <w:rPr>
          <w:rStyle w:val="FootnoteReference"/>
        </w:rPr>
        <w:footnoteRef/>
      </w:r>
      <w:r w:rsidRPr="005D637C">
        <w:t>When applied to the Skeptic, I intend “school” to be under</w:t>
      </w:r>
      <w:r>
        <w:t>stood in the broad sense of (I.16-17</w:t>
      </w:r>
      <w:r w:rsidRPr="005D637C">
        <w:t>).</w:t>
      </w:r>
    </w:p>
  </w:footnote>
  <w:footnote w:id="3">
    <w:p w14:paraId="24AE0819" w14:textId="1D4186AD" w:rsidR="00085071" w:rsidRDefault="00085071" w:rsidP="00B965EC">
      <w:pPr>
        <w:pStyle w:val="FootnoteText"/>
        <w:tabs>
          <w:tab w:val="left" w:pos="180"/>
        </w:tabs>
        <w:ind w:left="180" w:hanging="180"/>
      </w:pPr>
      <w:r>
        <w:rPr>
          <w:rStyle w:val="FootnoteReference"/>
        </w:rPr>
        <w:footnoteRef/>
      </w:r>
      <w:r w:rsidRPr="005D637C">
        <w:t>I focu</w:t>
      </w:r>
      <w:r>
        <w:t>s on Dogmatists: (</w:t>
      </w:r>
      <w:proofErr w:type="spellStart"/>
      <w:r>
        <w:t>i</w:t>
      </w:r>
      <w:proofErr w:type="spellEnd"/>
      <w:r>
        <w:t>) as the most</w:t>
      </w:r>
      <w:r w:rsidRPr="005D637C">
        <w:t xml:space="preserve"> frequently discussed by Sextus (though see III.</w:t>
      </w:r>
      <w:r>
        <w:t>229-231</w:t>
      </w:r>
      <w:r w:rsidRPr="005D637C">
        <w:t>), and</w:t>
      </w:r>
      <w:r w:rsidR="0018756A">
        <w:t xml:space="preserve"> (ii) since Sextus</w:t>
      </w:r>
      <w:r>
        <w:t xml:space="preserve"> on the Academics seems an implausible caricature. </w:t>
      </w:r>
    </w:p>
  </w:footnote>
  <w:footnote w:id="4">
    <w:p w14:paraId="28EB12E3" w14:textId="23DCF239" w:rsidR="00085071" w:rsidRPr="005D637C" w:rsidRDefault="00085071" w:rsidP="00B965EC">
      <w:pPr>
        <w:pStyle w:val="FootnoteText"/>
        <w:tabs>
          <w:tab w:val="left" w:pos="180"/>
        </w:tabs>
        <w:ind w:left="180" w:hanging="180"/>
      </w:pPr>
      <w:r w:rsidRPr="005D637C">
        <w:rPr>
          <w:rStyle w:val="FootnoteReference"/>
        </w:rPr>
        <w:footnoteRef/>
      </w:r>
      <w:r w:rsidR="002B6FC0">
        <w:t>Cataleptic impressions</w:t>
      </w:r>
      <w:r>
        <w:t xml:space="preserve"> could only be of real objects. Zeno clarified by analogy: sensory impressions were like an open hand, assent a closing hand, cataleptic impressions a fist, and knowledge a hand grasping a closed fist (Baltzly, 2013). </w:t>
      </w:r>
    </w:p>
  </w:footnote>
  <w:footnote w:id="5">
    <w:p w14:paraId="7A4C9CD6" w14:textId="4EBB1CD4" w:rsidR="00085071" w:rsidRDefault="00085071" w:rsidP="00B965EC">
      <w:pPr>
        <w:pStyle w:val="FootnoteText"/>
        <w:tabs>
          <w:tab w:val="left" w:pos="180"/>
        </w:tabs>
        <w:ind w:left="180" w:hanging="180"/>
      </w:pPr>
      <w:r>
        <w:rPr>
          <w:rStyle w:val="FootnoteReference"/>
        </w:rPr>
        <w:footnoteRef/>
      </w:r>
      <w:r>
        <w:t>(I.13; I.16; I.197; I.200; I.208)</w:t>
      </w:r>
    </w:p>
  </w:footnote>
  <w:footnote w:id="6">
    <w:p w14:paraId="7FE4BF91" w14:textId="1A99E8EA" w:rsidR="00085071" w:rsidRDefault="00085071" w:rsidP="00B965EC">
      <w:pPr>
        <w:pStyle w:val="FootnoteText"/>
        <w:tabs>
          <w:tab w:val="left" w:pos="180"/>
        </w:tabs>
        <w:ind w:left="180" w:hanging="180"/>
      </w:pPr>
      <w:r>
        <w:rPr>
          <w:rStyle w:val="FootnoteReference"/>
        </w:rPr>
        <w:footnoteRef/>
      </w:r>
      <w:r>
        <w:t xml:space="preserve">(I.10; I.128; I.190-I.205) </w:t>
      </w:r>
    </w:p>
  </w:footnote>
  <w:footnote w:id="7">
    <w:p w14:paraId="34577ED0" w14:textId="0AB6C47C" w:rsidR="00085071" w:rsidRPr="005D637C" w:rsidRDefault="00085071" w:rsidP="00B965EC">
      <w:pPr>
        <w:pStyle w:val="FootnoteText"/>
        <w:tabs>
          <w:tab w:val="left" w:pos="180"/>
        </w:tabs>
        <w:ind w:left="180" w:hanging="180"/>
      </w:pPr>
      <w:r w:rsidRPr="005D637C">
        <w:rPr>
          <w:rStyle w:val="FootnoteReference"/>
        </w:rPr>
        <w:footnoteRef/>
      </w:r>
      <w:r>
        <w:t xml:space="preserve">Suspension arose from investigative frustration, but abandoning commitments over whether </w:t>
      </w:r>
      <w:r w:rsidR="0018756A">
        <w:t>certain claims are true dissipates</w:t>
      </w:r>
      <w:r>
        <w:t xml:space="preserve"> that frustration (I.28). Oddly, Sextus’s description of the emergence of suspension of judgment suggests it may be reached accidentally. This cannot be correct. If it were, then since tranquility</w:t>
      </w:r>
      <w:r w:rsidRPr="00AF26D0">
        <w:t xml:space="preserve"> follow</w:t>
      </w:r>
      <w:r>
        <w:t>s</w:t>
      </w:r>
      <w:r w:rsidRPr="00AF26D0">
        <w:t xml:space="preserve"> suspension of judgment as </w:t>
      </w:r>
      <w:r>
        <w:t xml:space="preserve">a shadow follows a body (I.29), any accidental suspension would lead to tranquility. It seems rather that an ability to achieve equipollence led to </w:t>
      </w:r>
      <w:r>
        <w:rPr>
          <w:i/>
        </w:rPr>
        <w:t>stable</w:t>
      </w:r>
      <w:r>
        <w:t xml:space="preserve"> suspension</w:t>
      </w:r>
      <w:r w:rsidRPr="00AF26D0">
        <w:t xml:space="preserve"> (I.8; I.13).</w:t>
      </w:r>
      <w:r>
        <w:t xml:space="preserve"> Presumably, tranquility follows stable suspension of judgment. </w:t>
      </w:r>
    </w:p>
  </w:footnote>
  <w:footnote w:id="8">
    <w:p w14:paraId="054C5CC2" w14:textId="3F6BB135" w:rsidR="00085071" w:rsidRDefault="00085071" w:rsidP="00B965EC">
      <w:pPr>
        <w:pStyle w:val="FootnoteText"/>
        <w:tabs>
          <w:tab w:val="left" w:pos="180"/>
        </w:tabs>
        <w:ind w:left="180" w:hanging="180"/>
      </w:pPr>
      <w:r>
        <w:rPr>
          <w:rStyle w:val="FootnoteReference"/>
        </w:rPr>
        <w:footnoteRef/>
      </w:r>
      <w:r>
        <w:t>(I.8; I.10-12; I.13; I.18; I.25; I.215)</w:t>
      </w:r>
    </w:p>
  </w:footnote>
  <w:footnote w:id="9">
    <w:p w14:paraId="32B97975" w14:textId="7CCB6E5F" w:rsidR="00085071" w:rsidRDefault="00085071" w:rsidP="00B965EC">
      <w:pPr>
        <w:pStyle w:val="FootnoteText"/>
        <w:tabs>
          <w:tab w:val="left" w:pos="180"/>
        </w:tabs>
        <w:ind w:left="180" w:hanging="180"/>
      </w:pPr>
      <w:r>
        <w:rPr>
          <w:rStyle w:val="FootnoteReference"/>
        </w:rPr>
        <w:footnoteRef/>
      </w:r>
      <w:r>
        <w:t xml:space="preserve">(I.10; I.12; I.13). (Fine, pg. 100; fn. 63) claims (I.197-198; I.202; I.208) indicate Sextus qualifies “everything” to mean only unclear matters investigated by Dogmatists, but this, like much, is contentious. </w:t>
      </w:r>
    </w:p>
  </w:footnote>
  <w:footnote w:id="10">
    <w:p w14:paraId="03133483" w14:textId="09B82C6E" w:rsidR="00085071" w:rsidRPr="005D637C" w:rsidRDefault="00085071" w:rsidP="00B965EC">
      <w:pPr>
        <w:pStyle w:val="FootnoteText"/>
        <w:tabs>
          <w:tab w:val="left" w:pos="180"/>
        </w:tabs>
        <w:ind w:left="180" w:hanging="180"/>
      </w:pPr>
      <w:r w:rsidRPr="005D637C">
        <w:rPr>
          <w:rStyle w:val="FootnoteReference"/>
        </w:rPr>
        <w:footnoteRef/>
      </w:r>
      <w:r>
        <w:t xml:space="preserve">(I.23-24), (Vogt, 2010); see (Grgic, 2017), however, who claims belief has nothing to do with the apraxia objection. </w:t>
      </w:r>
    </w:p>
  </w:footnote>
  <w:footnote w:id="11">
    <w:p w14:paraId="3119C9CF" w14:textId="4F040CD7" w:rsidR="00085071" w:rsidRPr="005D637C" w:rsidRDefault="00085071" w:rsidP="00B965EC">
      <w:pPr>
        <w:pStyle w:val="FootnoteText"/>
        <w:tabs>
          <w:tab w:val="left" w:pos="180"/>
        </w:tabs>
        <w:ind w:left="180" w:hanging="180"/>
      </w:pPr>
      <w:r w:rsidRPr="005D637C">
        <w:rPr>
          <w:rStyle w:val="FootnoteReference"/>
        </w:rPr>
        <w:footnoteRef/>
      </w:r>
      <w:r>
        <w:t>Understood straightforwardly this seems h</w:t>
      </w:r>
      <w:r w:rsidR="0018756A">
        <w:t>ardly a concern – presumably animals</w:t>
      </w:r>
      <w:r>
        <w:t xml:space="preserve"> act but lack belief. In truth, t</w:t>
      </w:r>
      <w:r w:rsidRPr="005D637C">
        <w:t>he</w:t>
      </w:r>
      <w:r>
        <w:t>re are several versions of the apraxia o</w:t>
      </w:r>
      <w:r w:rsidRPr="005D637C">
        <w:t>bjection,</w:t>
      </w:r>
      <w:r>
        <w:t xml:space="preserve"> some stronger than others.</w:t>
      </w:r>
      <w:r w:rsidRPr="005D637C">
        <w:t xml:space="preserve"> (Vogt, </w:t>
      </w:r>
      <w:r>
        <w:t>2010) identifies</w:t>
      </w:r>
      <w:r w:rsidRPr="005D637C">
        <w:t xml:space="preserve"> eight disti</w:t>
      </w:r>
      <w:r>
        <w:t>nct versions</w:t>
      </w:r>
      <w:r w:rsidRPr="005D637C">
        <w:t xml:space="preserve">. </w:t>
      </w:r>
    </w:p>
  </w:footnote>
  <w:footnote w:id="12">
    <w:p w14:paraId="0A85E517" w14:textId="24F9BEB7" w:rsidR="00085071" w:rsidRDefault="00085071" w:rsidP="00B965EC">
      <w:pPr>
        <w:pStyle w:val="FootnoteText"/>
        <w:tabs>
          <w:tab w:val="left" w:pos="180"/>
        </w:tabs>
        <w:ind w:left="180" w:hanging="180"/>
      </w:pPr>
      <w:r>
        <w:rPr>
          <w:rStyle w:val="FootnoteReference"/>
        </w:rPr>
        <w:footnoteRef/>
      </w:r>
      <w:r>
        <w:t xml:space="preserve">(I.13), with (I.16) as supplement. </w:t>
      </w:r>
    </w:p>
  </w:footnote>
  <w:footnote w:id="13">
    <w:p w14:paraId="6932E48A" w14:textId="55E5191D" w:rsidR="00085071" w:rsidRDefault="00085071" w:rsidP="00B965EC">
      <w:pPr>
        <w:pStyle w:val="FootnoteText"/>
        <w:tabs>
          <w:tab w:val="left" w:pos="180"/>
        </w:tabs>
        <w:ind w:left="180" w:hanging="180"/>
      </w:pPr>
      <w:r>
        <w:rPr>
          <w:rStyle w:val="FootnoteReference"/>
        </w:rPr>
        <w:footnoteRef/>
      </w:r>
      <w:r>
        <w:t>(Barnes, 1982), (Burnyeat, 1980; 1984).</w:t>
      </w:r>
    </w:p>
  </w:footnote>
  <w:footnote w:id="14">
    <w:p w14:paraId="1DA044A0" w14:textId="779EABA7" w:rsidR="00085071" w:rsidRDefault="00085071" w:rsidP="00B965EC">
      <w:pPr>
        <w:pStyle w:val="FootnoteText"/>
        <w:tabs>
          <w:tab w:val="left" w:pos="180"/>
        </w:tabs>
        <w:ind w:left="180" w:hanging="180"/>
      </w:pPr>
      <w:r>
        <w:rPr>
          <w:rStyle w:val="FootnoteReference"/>
        </w:rPr>
        <w:footnoteRef/>
      </w:r>
      <w:r>
        <w:t>(Fine, 2000), (Perin, 2010).</w:t>
      </w:r>
    </w:p>
  </w:footnote>
  <w:footnote w:id="15">
    <w:p w14:paraId="02DFEF0C" w14:textId="51C7A7D3" w:rsidR="00085071" w:rsidRDefault="00085071" w:rsidP="00B965EC">
      <w:pPr>
        <w:pStyle w:val="FootnoteText"/>
        <w:tabs>
          <w:tab w:val="left" w:pos="180"/>
        </w:tabs>
        <w:ind w:left="180" w:hanging="180"/>
      </w:pPr>
      <w:r>
        <w:rPr>
          <w:rStyle w:val="FootnoteReference"/>
        </w:rPr>
        <w:footnoteRef/>
      </w:r>
      <w:r>
        <w:t xml:space="preserve">(Frede, 1979; 1984), (Morison, 2011). </w:t>
      </w:r>
    </w:p>
  </w:footnote>
  <w:footnote w:id="16">
    <w:p w14:paraId="5037DFF7" w14:textId="01B8EBDE" w:rsidR="00085071" w:rsidRDefault="00085071" w:rsidP="00B965EC">
      <w:pPr>
        <w:pStyle w:val="FootnoteText"/>
        <w:tabs>
          <w:tab w:val="left" w:pos="180"/>
        </w:tabs>
        <w:ind w:left="180" w:hanging="180"/>
      </w:pPr>
      <w:r>
        <w:rPr>
          <w:rStyle w:val="FootnoteReference"/>
        </w:rPr>
        <w:footnoteRef/>
      </w:r>
      <w:r>
        <w:t xml:space="preserve">To see how sentences and propositions come apart, observe if we assume “saccharine” is synonymous with “sweet”, then “Honey is saccharine” is a distinct sentence which may also be used to express p. </w:t>
      </w:r>
    </w:p>
  </w:footnote>
  <w:footnote w:id="17">
    <w:p w14:paraId="2B0C0894" w14:textId="2FEAA149" w:rsidR="00085071" w:rsidRDefault="00085071" w:rsidP="00B965EC">
      <w:pPr>
        <w:pStyle w:val="FootnoteText"/>
        <w:tabs>
          <w:tab w:val="left" w:pos="180"/>
        </w:tabs>
        <w:ind w:left="180" w:hanging="180"/>
      </w:pPr>
      <w:r>
        <w:rPr>
          <w:rStyle w:val="FootnoteReference"/>
        </w:rPr>
        <w:footnoteRef/>
      </w:r>
      <w:r w:rsidRPr="00AF26D0">
        <w:t>(I.20)</w:t>
      </w:r>
      <w:r>
        <w:t xml:space="preserve"> </w:t>
      </w:r>
    </w:p>
  </w:footnote>
  <w:footnote w:id="18">
    <w:p w14:paraId="5DCBCA2B" w14:textId="64192B1E" w:rsidR="00085071" w:rsidRDefault="00085071" w:rsidP="00B965EC">
      <w:pPr>
        <w:pStyle w:val="FootnoteText"/>
        <w:ind w:left="180" w:hanging="180"/>
      </w:pPr>
      <w:r>
        <w:rPr>
          <w:rStyle w:val="FootnoteReference"/>
        </w:rPr>
        <w:footnoteRef/>
      </w:r>
      <w:r>
        <w:t xml:space="preserve">This is </w:t>
      </w:r>
      <w:r w:rsidRPr="002A50BD">
        <w:t>not</w:t>
      </w:r>
      <w:r>
        <w:t xml:space="preserve"> to prejudge whether the propositions expressed are equivalent; our assumption is simply for perspicuity. </w:t>
      </w:r>
    </w:p>
  </w:footnote>
  <w:footnote w:id="19">
    <w:p w14:paraId="562BAF61" w14:textId="53238BB6" w:rsidR="00085071" w:rsidRDefault="00085071" w:rsidP="00B965EC">
      <w:pPr>
        <w:pStyle w:val="FootnoteText"/>
        <w:tabs>
          <w:tab w:val="left" w:pos="180"/>
        </w:tabs>
        <w:ind w:left="180" w:hanging="180"/>
      </w:pPr>
      <w:r>
        <w:rPr>
          <w:rStyle w:val="FootnoteReference"/>
        </w:rPr>
        <w:footnoteRef/>
      </w:r>
      <w:r>
        <w:t>E.g. bel</w:t>
      </w:r>
      <w:r w:rsidRPr="007D30AB">
        <w:rPr>
          <w:i/>
        </w:rPr>
        <w:t>ief</w:t>
      </w:r>
      <w:r>
        <w:t xml:space="preserve"> rather than bel</w:t>
      </w:r>
      <w:r w:rsidRPr="007D30AB">
        <w:rPr>
          <w:i/>
        </w:rPr>
        <w:t>ieving</w:t>
      </w:r>
      <w:r>
        <w:t xml:space="preserve">. Where “believing” in what follows is read as a state, unless noted otherwise. </w:t>
      </w:r>
    </w:p>
  </w:footnote>
  <w:footnote w:id="20">
    <w:p w14:paraId="5BD3B816" w14:textId="348FBE45" w:rsidR="00085071" w:rsidRDefault="00085071" w:rsidP="00B965EC">
      <w:pPr>
        <w:pStyle w:val="FootnoteText"/>
        <w:tabs>
          <w:tab w:val="left" w:pos="180"/>
        </w:tabs>
        <w:ind w:left="180" w:hanging="180"/>
      </w:pPr>
      <w:r>
        <w:rPr>
          <w:rStyle w:val="FootnoteReference"/>
        </w:rPr>
        <w:footnoteRef/>
      </w:r>
      <w:r>
        <w:t xml:space="preserve">Putting aside possibilities of cataleptic impressions commanding involuntary assent (M.VII.257). It is unclear whether these passages imply cataleptic impressions command involuntary assent, or whether assent is difficult to withhold. </w:t>
      </w:r>
    </w:p>
  </w:footnote>
  <w:footnote w:id="21">
    <w:p w14:paraId="4C7DB30F" w14:textId="315270DE" w:rsidR="00085071" w:rsidRDefault="00085071" w:rsidP="00B965EC">
      <w:pPr>
        <w:pStyle w:val="FootnoteText"/>
        <w:tabs>
          <w:tab w:val="left" w:pos="180"/>
        </w:tabs>
        <w:ind w:left="180" w:hanging="180"/>
      </w:pPr>
      <w:r>
        <w:rPr>
          <w:rStyle w:val="FootnoteReference"/>
        </w:rPr>
        <w:footnoteRef/>
      </w:r>
      <w:r>
        <w:t>(Baltzly, 2013)</w:t>
      </w:r>
    </w:p>
  </w:footnote>
  <w:footnote w:id="22">
    <w:p w14:paraId="32547718" w14:textId="14D175C2" w:rsidR="00085071" w:rsidRDefault="00085071" w:rsidP="00B965EC">
      <w:pPr>
        <w:pStyle w:val="FootnoteText"/>
        <w:tabs>
          <w:tab w:val="left" w:pos="180"/>
        </w:tabs>
        <w:ind w:left="180" w:hanging="180"/>
      </w:pPr>
      <w:r>
        <w:rPr>
          <w:rStyle w:val="FootnoteReference"/>
        </w:rPr>
        <w:footnoteRef/>
      </w:r>
      <w:r>
        <w:t xml:space="preserve">With obvious parallel qualifications for, e.g. dissenting as evaluating as false, etc. </w:t>
      </w:r>
    </w:p>
  </w:footnote>
  <w:footnote w:id="23">
    <w:p w14:paraId="09206DF8" w14:textId="09833B8E" w:rsidR="00085071" w:rsidRDefault="00085071" w:rsidP="00B965EC">
      <w:pPr>
        <w:pStyle w:val="FootnoteText"/>
        <w:tabs>
          <w:tab w:val="left" w:pos="180"/>
        </w:tabs>
        <w:ind w:left="180" w:hanging="180"/>
      </w:pPr>
      <w:r>
        <w:rPr>
          <w:rStyle w:val="FootnoteReference"/>
        </w:rPr>
        <w:footnoteRef/>
      </w:r>
      <w:r>
        <w:t xml:space="preserve">Assent expresses present feeling for the Skeptic </w:t>
      </w:r>
      <w:r w:rsidRPr="00AF26D0">
        <w:t>(I.13; I.22; I.193; I.229</w:t>
      </w:r>
      <w:r>
        <w:t>; II.10</w:t>
      </w:r>
      <w:r w:rsidRPr="00AF26D0">
        <w:t>)</w:t>
      </w:r>
      <w:r>
        <w:t xml:space="preserve">. </w:t>
      </w:r>
    </w:p>
  </w:footnote>
  <w:footnote w:id="24">
    <w:p w14:paraId="66F450FC" w14:textId="6BD14E59" w:rsidR="00085071" w:rsidRDefault="00085071" w:rsidP="00B965EC">
      <w:pPr>
        <w:pStyle w:val="FootnoteText"/>
        <w:tabs>
          <w:tab w:val="left" w:pos="180"/>
        </w:tabs>
        <w:ind w:left="180" w:hanging="180"/>
      </w:pPr>
      <w:r>
        <w:rPr>
          <w:rStyle w:val="FootnoteReference"/>
        </w:rPr>
        <w:footnoteRef/>
      </w:r>
      <w:r>
        <w:t>For simplicity I also assume</w:t>
      </w:r>
      <w:r w:rsidRPr="00AF26D0">
        <w:t xml:space="preserve"> </w:t>
      </w:r>
      <w:r>
        <w:t xml:space="preserve">implicit </w:t>
      </w:r>
      <w:r w:rsidRPr="00AF26D0">
        <w:t>temporal, location, and other</w:t>
      </w:r>
      <w:r>
        <w:t xml:space="preserve"> contextual parameters, i.e. belief is relativized to a time, place, etc</w:t>
      </w:r>
      <w:r w:rsidRPr="00AF26D0">
        <w:t>.</w:t>
      </w:r>
      <w:r>
        <w:t xml:space="preserve"> Similarly for assent, with the qualification that temporal indices are over extended temporal regions. </w:t>
      </w:r>
    </w:p>
  </w:footnote>
  <w:footnote w:id="25">
    <w:p w14:paraId="3F10C773" w14:textId="6BA470C9" w:rsidR="00085071" w:rsidRPr="005D637C" w:rsidRDefault="00085071" w:rsidP="00B965EC">
      <w:pPr>
        <w:pStyle w:val="FootnoteText"/>
        <w:tabs>
          <w:tab w:val="left" w:pos="180"/>
        </w:tabs>
        <w:ind w:left="180" w:hanging="180"/>
      </w:pPr>
      <w:r w:rsidRPr="005D637C">
        <w:rPr>
          <w:rStyle w:val="FootnoteReference"/>
        </w:rPr>
        <w:footnoteRef/>
      </w:r>
      <w:r w:rsidRPr="004C290D">
        <w:t>Concerning actions, x constitutively entails y just in case performance of x involves performance of y.</w:t>
      </w:r>
      <w:r>
        <w:t xml:space="preserve"> Similarly, states constitutively entail states when having the first state requires having the second. So too for putative constitutive entailments across ontological categories, e.g. state to process or process to state. It is doubtful there are in general, say, state to process constitutive entailments, etc., but pressing such points would take us too far afield. </w:t>
      </w:r>
      <w:r w:rsidRPr="005D637C">
        <w:t xml:space="preserve"> </w:t>
      </w:r>
    </w:p>
  </w:footnote>
  <w:footnote w:id="26">
    <w:p w14:paraId="599673BD" w14:textId="5F1111CC" w:rsidR="0018756A" w:rsidRPr="00D907FD" w:rsidRDefault="0018756A" w:rsidP="00D907FD">
      <w:pPr>
        <w:pStyle w:val="FootnoteText"/>
        <w:ind w:left="180" w:hanging="180"/>
      </w:pPr>
      <w:r>
        <w:rPr>
          <w:rStyle w:val="FootnoteReference"/>
        </w:rPr>
        <w:footnoteRef/>
      </w:r>
      <w:r w:rsidR="00D907FD">
        <w:t>A worry</w:t>
      </w:r>
      <w:r>
        <w:t xml:space="preserve"> –</w:t>
      </w:r>
      <w:r w:rsidR="00D907FD">
        <w:t xml:space="preserve"> If one believes Sherlock Holmes lives on Baker Street, (1) entails one believes it true that Sherlock Holmes lives on Baker Street. However, this seems implausible. I concede this seems implausible, but do not think (1) is troubled. Presumably, what an agent believing such things in fact believes is that </w:t>
      </w:r>
      <w:r w:rsidR="00D907FD">
        <w:rPr>
          <w:i/>
        </w:rPr>
        <w:t>in a story</w:t>
      </w:r>
      <w:r w:rsidR="00D907FD">
        <w:t xml:space="preserve"> Sherlock Holmes lives on Baker Street, and consequently, the content is true in the story. </w:t>
      </w:r>
    </w:p>
  </w:footnote>
  <w:footnote w:id="27">
    <w:p w14:paraId="28B09172" w14:textId="665C8531" w:rsidR="00085071" w:rsidRPr="005D637C" w:rsidRDefault="00085071" w:rsidP="00B965EC">
      <w:pPr>
        <w:pStyle w:val="FootnoteText"/>
        <w:tabs>
          <w:tab w:val="left" w:pos="180"/>
        </w:tabs>
        <w:ind w:left="180" w:hanging="180"/>
      </w:pPr>
      <w:r w:rsidRPr="005D637C">
        <w:rPr>
          <w:rStyle w:val="FootnoteReference"/>
        </w:rPr>
        <w:footnoteRef/>
      </w:r>
      <w:r w:rsidRPr="005D637C">
        <w:t xml:space="preserve">“BEL” </w:t>
      </w:r>
      <w:r w:rsidR="0018756A">
        <w:t>is a relation holding between an (presumably human)</w:t>
      </w:r>
      <w:r w:rsidRPr="005D637C">
        <w:t xml:space="preserve"> agent and propos</w:t>
      </w:r>
      <w:r>
        <w:t>ition. Implicit</w:t>
      </w:r>
      <w:r w:rsidRPr="005D637C">
        <w:t xml:space="preserve"> are contextual indic</w:t>
      </w:r>
      <w:r>
        <w:t>es, e.g. time, place, etc. “|-</w:t>
      </w:r>
      <w:proofErr w:type="gramStart"/>
      <w:r>
        <w:t xml:space="preserve">“ </w:t>
      </w:r>
      <w:r w:rsidRPr="005D637C">
        <w:t>denotes</w:t>
      </w:r>
      <w:proofErr w:type="gramEnd"/>
      <w:r w:rsidRPr="005D637C">
        <w:t xml:space="preserve"> consti</w:t>
      </w:r>
      <w:r>
        <w:t>tutive entailment; “T(p)” is</w:t>
      </w:r>
      <w:r w:rsidRPr="005D637C">
        <w:t xml:space="preserve"> a pr</w:t>
      </w:r>
      <w:r>
        <w:t>oposition to the effect that p is true.</w:t>
      </w:r>
      <w:r w:rsidRPr="005D637C">
        <w:t xml:space="preserve"> </w:t>
      </w:r>
      <w:r>
        <w:t xml:space="preserve">Similar remarks apply below to relations “AST” and “END”. </w:t>
      </w:r>
    </w:p>
  </w:footnote>
  <w:footnote w:id="28">
    <w:p w14:paraId="77F649F9" w14:textId="4262F0AE" w:rsidR="00085071" w:rsidRDefault="00085071" w:rsidP="00B965EC">
      <w:pPr>
        <w:pStyle w:val="FootnoteText"/>
        <w:tabs>
          <w:tab w:val="left" w:pos="180"/>
        </w:tabs>
        <w:ind w:left="180" w:hanging="180"/>
      </w:pPr>
      <w:r>
        <w:rPr>
          <w:rStyle w:val="FootnoteReference"/>
        </w:rPr>
        <w:footnoteRef/>
      </w:r>
      <w:r>
        <w:t xml:space="preserve">(Fine, 2000), (Barnes, 1982), (Burnyeat, 1980). </w:t>
      </w:r>
    </w:p>
  </w:footnote>
  <w:footnote w:id="29">
    <w:p w14:paraId="6049C911" w14:textId="0280FEFD" w:rsidR="00085071" w:rsidRDefault="00085071" w:rsidP="00B965EC">
      <w:pPr>
        <w:pStyle w:val="FootnoteText"/>
        <w:tabs>
          <w:tab w:val="left" w:pos="180"/>
        </w:tabs>
        <w:ind w:left="180" w:hanging="180"/>
      </w:pPr>
      <w:r>
        <w:rPr>
          <w:rStyle w:val="FootnoteReference"/>
        </w:rPr>
        <w:footnoteRef/>
      </w:r>
      <w:r>
        <w:t xml:space="preserve">Frede and Fine accept (2); Barnes and Burnyeat reject (2). </w:t>
      </w:r>
    </w:p>
  </w:footnote>
  <w:footnote w:id="30">
    <w:p w14:paraId="30D4A9E9" w14:textId="6C320B5A" w:rsidR="00085071" w:rsidRDefault="00085071" w:rsidP="00B965EC">
      <w:pPr>
        <w:pStyle w:val="FootnoteText"/>
        <w:ind w:left="180" w:hanging="180"/>
      </w:pPr>
      <w:r>
        <w:rPr>
          <w:rStyle w:val="FootnoteReference"/>
        </w:rPr>
        <w:footnoteRef/>
      </w:r>
      <w:r>
        <w:t xml:space="preserve">Since we are assuming constitutive entailment is transitive. </w:t>
      </w:r>
    </w:p>
  </w:footnote>
  <w:footnote w:id="31">
    <w:p w14:paraId="2E47A724" w14:textId="54CEC01D" w:rsidR="00085071" w:rsidRPr="005D637C" w:rsidRDefault="00085071" w:rsidP="00B965EC">
      <w:pPr>
        <w:pStyle w:val="FootnoteText"/>
        <w:tabs>
          <w:tab w:val="left" w:pos="180"/>
        </w:tabs>
        <w:ind w:left="180" w:hanging="180"/>
      </w:pPr>
      <w:r w:rsidRPr="005D637C">
        <w:rPr>
          <w:rStyle w:val="FootnoteReference"/>
        </w:rPr>
        <w:footnoteRef/>
      </w:r>
      <w:r>
        <w:t>These theses divide the major positions concerning whether Skeptics had beliefs. (Burnyeat, 1980)</w:t>
      </w:r>
      <w:r w:rsidRPr="005D637C">
        <w:t xml:space="preserve"> accepts (1), rejects (2), and</w:t>
      </w:r>
      <w:r>
        <w:t xml:space="preserve"> rejects Skeptics have beliefs, claiming</w:t>
      </w:r>
      <w:r w:rsidRPr="005D637C">
        <w:t xml:space="preserve"> “truth” was used in the ancient world solely to describe reality, so while Skeptics assent to appearances, they cannot believe them since appearances are not truth-apt</w:t>
      </w:r>
      <w:r>
        <w:t xml:space="preserve"> (pgs. 24-26). </w:t>
      </w:r>
      <w:r w:rsidRPr="005D637C">
        <w:t xml:space="preserve">(Brennan &amp; </w:t>
      </w:r>
      <w:r>
        <w:t>Roberts, pg. 133)</w:t>
      </w:r>
      <w:r w:rsidRPr="005D637C">
        <w:t xml:space="preserve"> observe Burnyeat provides neither citation nor argument for this claim</w:t>
      </w:r>
      <w:r>
        <w:t xml:space="preserve"> about truth. (Barnes, 1982)</w:t>
      </w:r>
      <w:r w:rsidRPr="005D637C">
        <w:t xml:space="preserve"> supplements Burnyeat’s picture, claiming Skeptic assent to appearances is best understood as a speech act type lacking truth-co</w:t>
      </w:r>
      <w:r>
        <w:t>nditions, e.g. avowal. Much as children</w:t>
      </w:r>
      <w:r w:rsidRPr="005D637C">
        <w:t xml:space="preserve"> replace crying behavior with linguistic expressions of pain, thereby presenting pain rather than representing it, so too Skeptics present appearances rather than </w:t>
      </w:r>
      <w:r w:rsidRPr="005D637C">
        <w:rPr>
          <w:i/>
        </w:rPr>
        <w:t>re</w:t>
      </w:r>
      <w:r>
        <w:t>present appearances, e.g.</w:t>
      </w:r>
      <w:r w:rsidRPr="005D637C">
        <w:t xml:space="preserve"> “Honey appears sw</w:t>
      </w:r>
      <w:r>
        <w:t>eet”</w:t>
      </w:r>
      <w:r w:rsidRPr="005D637C">
        <w:t xml:space="preserve"> does not describe</w:t>
      </w:r>
      <w:r>
        <w:t xml:space="preserve"> the Skeptic’s state, but</w:t>
      </w:r>
      <w:r w:rsidRPr="005D637C">
        <w:t xml:space="preserve"> is a p</w:t>
      </w:r>
      <w:r>
        <w:t>erformance of the state. (Fine, 2000) and (Perin, 2010) accept both (1) and (2), and claim Skeptics have beliefs. However,</w:t>
      </w:r>
      <w:r w:rsidRPr="005D637C">
        <w:t xml:space="preserve"> </w:t>
      </w:r>
      <w:r>
        <w:t xml:space="preserve">Skeptic </w:t>
      </w:r>
      <w:r w:rsidRPr="005D637C">
        <w:t>beliefs are restricted to appea</w:t>
      </w:r>
      <w:r>
        <w:t>rance. Fine claims</w:t>
      </w:r>
      <w:r w:rsidRPr="005D637C">
        <w:t xml:space="preserve"> Skeptics believe </w:t>
      </w:r>
      <w:r>
        <w:t xml:space="preserve">both </w:t>
      </w:r>
      <w:r w:rsidRPr="005D637C">
        <w:t>the contents of ap</w:t>
      </w:r>
      <w:r>
        <w:t>pearances and that the content is true</w:t>
      </w:r>
      <w:r w:rsidRPr="005D637C">
        <w:t xml:space="preserve">. </w:t>
      </w:r>
      <w:r>
        <w:t xml:space="preserve">Perin’s proposal is similar.  </w:t>
      </w:r>
    </w:p>
  </w:footnote>
  <w:footnote w:id="32">
    <w:p w14:paraId="7754904E" w14:textId="765FAF9D" w:rsidR="00085071" w:rsidRDefault="00085071" w:rsidP="00B965EC">
      <w:pPr>
        <w:pStyle w:val="FootnoteText"/>
        <w:tabs>
          <w:tab w:val="left" w:pos="180"/>
        </w:tabs>
        <w:ind w:left="180" w:hanging="180"/>
      </w:pPr>
      <w:r>
        <w:rPr>
          <w:rStyle w:val="FootnoteReference"/>
        </w:rPr>
        <w:footnoteRef/>
      </w:r>
      <w:r>
        <w:t xml:space="preserve">Frede speaks of “two kinds of assent”, but his discussion suggests a distinction between voluntary and involuntary assent. See (Fine, pgs. 4-8, 2000) for objections, though I take these to strike at rejecting (1) rather than accepting (2). </w:t>
      </w:r>
    </w:p>
  </w:footnote>
  <w:footnote w:id="33">
    <w:p w14:paraId="2BFD1DCE" w14:textId="0D28B390" w:rsidR="00085071" w:rsidRDefault="00085071" w:rsidP="00B965EC">
      <w:pPr>
        <w:pStyle w:val="FootnoteText"/>
        <w:ind w:left="180" w:hanging="180"/>
      </w:pPr>
      <w:r>
        <w:rPr>
          <w:rStyle w:val="FootnoteReference"/>
        </w:rPr>
        <w:footnoteRef/>
      </w:r>
      <w:r>
        <w:t>(Frede, pg. 19, 1979)</w:t>
      </w:r>
    </w:p>
  </w:footnote>
  <w:footnote w:id="34">
    <w:p w14:paraId="1537A3E4" w14:textId="5BF964B4" w:rsidR="00085071" w:rsidRDefault="00085071" w:rsidP="00B965EC">
      <w:pPr>
        <w:pStyle w:val="FootnoteText"/>
        <w:tabs>
          <w:tab w:val="left" w:pos="180"/>
        </w:tabs>
        <w:ind w:left="180" w:hanging="180"/>
      </w:pPr>
      <w:r>
        <w:rPr>
          <w:rStyle w:val="FootnoteReference"/>
        </w:rPr>
        <w:footnoteRef/>
      </w:r>
      <w:r>
        <w:t>(I.13)</w:t>
      </w:r>
    </w:p>
  </w:footnote>
  <w:footnote w:id="35">
    <w:p w14:paraId="68A051D2" w14:textId="26EA54D1" w:rsidR="00085071" w:rsidRPr="005D637C" w:rsidRDefault="00085071" w:rsidP="00B965EC">
      <w:pPr>
        <w:pStyle w:val="FootnoteText"/>
        <w:tabs>
          <w:tab w:val="left" w:pos="180"/>
        </w:tabs>
        <w:ind w:left="180" w:hanging="180"/>
      </w:pPr>
      <w:r w:rsidRPr="005D637C">
        <w:rPr>
          <w:rStyle w:val="FootnoteReference"/>
        </w:rPr>
        <w:footnoteRef/>
      </w:r>
      <w:r w:rsidRPr="005D637C">
        <w:t>This, in part, distinguishes Frede’s prop</w:t>
      </w:r>
      <w:r>
        <w:t>osal from Fine’s and Perin’s</w:t>
      </w:r>
      <w:r w:rsidRPr="005D637C">
        <w:t xml:space="preserve">. </w:t>
      </w:r>
    </w:p>
  </w:footnote>
  <w:footnote w:id="36">
    <w:p w14:paraId="762907B2" w14:textId="10F64872" w:rsidR="00085071" w:rsidRDefault="00085071" w:rsidP="00B965EC">
      <w:pPr>
        <w:pStyle w:val="FootnoteText"/>
        <w:tabs>
          <w:tab w:val="left" w:pos="180"/>
        </w:tabs>
        <w:ind w:left="180" w:hanging="180"/>
      </w:pPr>
      <w:r>
        <w:rPr>
          <w:rStyle w:val="FootnoteReference"/>
        </w:rPr>
        <w:footnoteRef/>
      </w:r>
      <w:r>
        <w:t xml:space="preserve">Perhaps also worth mentioning is how </w:t>
      </w:r>
      <w:r>
        <w:rPr>
          <w:i/>
        </w:rPr>
        <w:t>obscure</w:t>
      </w:r>
      <w:r>
        <w:t xml:space="preserve"> and </w:t>
      </w:r>
      <w:r>
        <w:rPr>
          <w:i/>
        </w:rPr>
        <w:t>confusing</w:t>
      </w:r>
      <w:r>
        <w:t xml:space="preserve"> Frede’s writing on this topic is. This is partly due to the Sextus’s obscurity. Still, Frede should have been clearer, cp. (Brennan &amp; Roberts, pg. 129).</w:t>
      </w:r>
    </w:p>
  </w:footnote>
  <w:footnote w:id="37">
    <w:p w14:paraId="1BD9EAFF" w14:textId="77777777" w:rsidR="00085071" w:rsidRDefault="00085071" w:rsidP="00B965EC">
      <w:pPr>
        <w:pStyle w:val="FootnoteText"/>
        <w:ind w:left="180" w:hanging="180"/>
      </w:pPr>
      <w:r>
        <w:rPr>
          <w:rStyle w:val="FootnoteReference"/>
        </w:rPr>
        <w:footnoteRef/>
      </w:r>
      <w:r>
        <w:t>E.g. Barnes and Burnyeat.</w:t>
      </w:r>
    </w:p>
  </w:footnote>
  <w:footnote w:id="38">
    <w:p w14:paraId="5C057032" w14:textId="77F9A60B" w:rsidR="00085071" w:rsidRPr="005D637C" w:rsidRDefault="00085071" w:rsidP="00B965EC">
      <w:pPr>
        <w:tabs>
          <w:tab w:val="left" w:pos="180"/>
        </w:tabs>
        <w:ind w:left="180" w:hanging="180"/>
        <w:rPr>
          <w:sz w:val="20"/>
          <w:szCs w:val="20"/>
        </w:rPr>
      </w:pPr>
      <w:r w:rsidRPr="005D637C">
        <w:rPr>
          <w:rStyle w:val="FootnoteReference"/>
          <w:sz w:val="20"/>
          <w:szCs w:val="20"/>
        </w:rPr>
        <w:footnoteRef/>
      </w:r>
      <w:r>
        <w:rPr>
          <w:sz w:val="20"/>
          <w:szCs w:val="20"/>
        </w:rPr>
        <w:t>(Vogt, 2012; 2014)</w:t>
      </w:r>
      <w:r w:rsidRPr="005D637C">
        <w:rPr>
          <w:sz w:val="20"/>
          <w:szCs w:val="20"/>
        </w:rPr>
        <w:t xml:space="preserve"> rejects </w:t>
      </w:r>
      <w:r>
        <w:rPr>
          <w:sz w:val="20"/>
          <w:szCs w:val="20"/>
        </w:rPr>
        <w:t xml:space="preserve">Frede proposal on grounds of his rejecting (1); </w:t>
      </w:r>
      <w:r w:rsidRPr="005D637C">
        <w:rPr>
          <w:sz w:val="20"/>
          <w:szCs w:val="20"/>
        </w:rPr>
        <w:t>(Burnyeat, 1980) questions whet</w:t>
      </w:r>
      <w:r>
        <w:rPr>
          <w:sz w:val="20"/>
          <w:szCs w:val="20"/>
        </w:rPr>
        <w:t>her the distinction is</w:t>
      </w:r>
      <w:r w:rsidRPr="005D637C">
        <w:rPr>
          <w:sz w:val="20"/>
          <w:szCs w:val="20"/>
        </w:rPr>
        <w:t xml:space="preserve"> between two kinds of belief, suggesting it is a distinction betwe</w:t>
      </w:r>
      <w:r>
        <w:rPr>
          <w:sz w:val="20"/>
          <w:szCs w:val="20"/>
        </w:rPr>
        <w:t xml:space="preserve">en two propositional attitudes; etc. (Fine, 2000) and (Perin, 2010) take issue as well. </w:t>
      </w:r>
    </w:p>
  </w:footnote>
  <w:footnote w:id="39">
    <w:p w14:paraId="50DB0859" w14:textId="5F32BBCF" w:rsidR="00085071" w:rsidRPr="005D637C" w:rsidRDefault="00085071" w:rsidP="00B965EC">
      <w:pPr>
        <w:tabs>
          <w:tab w:val="left" w:pos="180"/>
        </w:tabs>
        <w:ind w:left="180" w:hanging="180"/>
        <w:rPr>
          <w:sz w:val="20"/>
          <w:szCs w:val="20"/>
        </w:rPr>
      </w:pPr>
      <w:r w:rsidRPr="005D637C">
        <w:rPr>
          <w:rStyle w:val="FootnoteReference"/>
          <w:sz w:val="20"/>
          <w:szCs w:val="20"/>
        </w:rPr>
        <w:footnoteRef/>
      </w:r>
      <w:r>
        <w:rPr>
          <w:sz w:val="20"/>
          <w:szCs w:val="20"/>
        </w:rPr>
        <w:t xml:space="preserve">One worry with rejecting (1) not raised in the literature is this may blur distinctions between belief and related attitudes, e.g. imagining. Plausibly, agents need not take the contents of their imaginings to be true. If it is also the case that agents need not take the contents of their beliefs to be true, it is unclear how believing and imagining are distinct attitudes for Skeptics. In contrast, Dogmatist’s maintain the distinction as one might expect: believed content is taken to be true; imagined content need not be.  </w:t>
      </w:r>
    </w:p>
  </w:footnote>
  <w:footnote w:id="40">
    <w:p w14:paraId="14FB9A74" w14:textId="3C347824" w:rsidR="00085071" w:rsidRPr="005D637C" w:rsidRDefault="00085071" w:rsidP="00B965EC">
      <w:pPr>
        <w:pStyle w:val="FootnoteText"/>
        <w:tabs>
          <w:tab w:val="left" w:pos="180"/>
        </w:tabs>
        <w:ind w:left="180" w:hanging="180"/>
      </w:pPr>
      <w:r w:rsidRPr="005D637C">
        <w:rPr>
          <w:rStyle w:val="FootnoteReference"/>
        </w:rPr>
        <w:footnoteRef/>
      </w:r>
      <w:r>
        <w:t>See</w:t>
      </w:r>
      <w:r w:rsidRPr="005D637C">
        <w:t xml:space="preserve"> (Fine, </w:t>
      </w:r>
      <w:r>
        <w:t>pg. 86</w:t>
      </w:r>
      <w:r w:rsidRPr="005D637C">
        <w:t>)</w:t>
      </w:r>
      <w:r>
        <w:t>, (Brennan &amp; Roberts, pg. 128)</w:t>
      </w:r>
      <w:r w:rsidRPr="005D637C">
        <w:t xml:space="preserve"> for </w:t>
      </w:r>
      <w:r>
        <w:t>discussion</w:t>
      </w:r>
      <w:r w:rsidRPr="005D637C">
        <w:t xml:space="preserve">. </w:t>
      </w:r>
    </w:p>
  </w:footnote>
  <w:footnote w:id="41">
    <w:p w14:paraId="2DE305EA" w14:textId="4996C47B" w:rsidR="000D7CFF" w:rsidRDefault="000D7CFF" w:rsidP="000D7CFF">
      <w:pPr>
        <w:pStyle w:val="FootnoteText"/>
        <w:ind w:left="180" w:hanging="180"/>
      </w:pPr>
      <w:r>
        <w:rPr>
          <w:rStyle w:val="FootnoteReference"/>
        </w:rPr>
        <w:footnoteRef/>
      </w:r>
      <w:r>
        <w:t xml:space="preserve">This is indeed contentious. As a commenter succinctly puts the issue “If acceptance is all you have, is it still insufficient for action?” I sympathize with the worry; Frede offers this line of argument but it is not particularly persuasive.  Nevertheless, we ultimately put acceptance aside since Frede explicitly rejects such a reading. </w:t>
      </w:r>
    </w:p>
  </w:footnote>
  <w:footnote w:id="42">
    <w:p w14:paraId="22DCB0CC" w14:textId="10B05706" w:rsidR="00085071" w:rsidRPr="005D637C" w:rsidRDefault="00085071" w:rsidP="00B965EC">
      <w:pPr>
        <w:pStyle w:val="FootnoteText"/>
        <w:tabs>
          <w:tab w:val="left" w:pos="180"/>
        </w:tabs>
        <w:ind w:left="180" w:hanging="180"/>
      </w:pPr>
      <w:r w:rsidRPr="005D637C">
        <w:rPr>
          <w:rStyle w:val="FootnoteReference"/>
        </w:rPr>
        <w:footnoteRef/>
      </w:r>
      <w:r>
        <w:t>Another worry is whether interpreting the Skeptic as merely accepting the content of appearances</w:t>
      </w:r>
      <w:r w:rsidRPr="005D637C">
        <w:t xml:space="preserve"> undermine</w:t>
      </w:r>
      <w:r>
        <w:t>s</w:t>
      </w:r>
      <w:r w:rsidRPr="005D637C">
        <w:t xml:space="preserve"> Sextus’s distinction between Skeptics and </w:t>
      </w:r>
      <w:r>
        <w:t>“New Academics”</w:t>
      </w:r>
      <w:r w:rsidRPr="005D637C">
        <w:t xml:space="preserve"> </w:t>
      </w:r>
      <w:r>
        <w:t>who assent to plausible impressions (III.229-231</w:t>
      </w:r>
      <w:r w:rsidRPr="005D637C">
        <w:t xml:space="preserve">). </w:t>
      </w:r>
      <w:r>
        <w:t xml:space="preserve">Sextus’s remarks suggest the distinction between the schools trades on involuntary/voluntary assent, or on a criterion of action/truth. Whether either sufficiently distinguishes the schools is unclear.  </w:t>
      </w:r>
    </w:p>
  </w:footnote>
  <w:footnote w:id="43">
    <w:p w14:paraId="25994133" w14:textId="0A18DD16" w:rsidR="00085071" w:rsidRDefault="00085071" w:rsidP="00B965EC">
      <w:pPr>
        <w:pStyle w:val="FootnoteText"/>
        <w:ind w:left="180" w:hanging="180"/>
      </w:pPr>
      <w:r>
        <w:rPr>
          <w:rStyle w:val="FootnoteReference"/>
        </w:rPr>
        <w:footnoteRef/>
      </w:r>
      <w:r>
        <w:t xml:space="preserve">(Frede, 207-209; Fine, pgs. 86-87). </w:t>
      </w:r>
    </w:p>
  </w:footnote>
  <w:footnote w:id="44">
    <w:p w14:paraId="077756B5" w14:textId="5401F9E3" w:rsidR="00085071" w:rsidRPr="005D637C" w:rsidRDefault="00085071" w:rsidP="00B965EC">
      <w:pPr>
        <w:pStyle w:val="FootnoteText"/>
        <w:tabs>
          <w:tab w:val="left" w:pos="180"/>
        </w:tabs>
        <w:ind w:left="180" w:hanging="180"/>
      </w:pPr>
      <w:r w:rsidRPr="005D637C">
        <w:rPr>
          <w:rStyle w:val="FootnoteReference"/>
        </w:rPr>
        <w:footnoteRef/>
      </w:r>
      <w:r>
        <w:t xml:space="preserve">E.g. </w:t>
      </w:r>
      <w:r w:rsidRPr="005D637C">
        <w:t>(Morison, 2014) and</w:t>
      </w:r>
      <w:r>
        <w:t xml:space="preserve"> (Brennan &amp; Roberts, pg. 130). Morison occupies us below</w:t>
      </w:r>
      <w:r w:rsidRPr="005D637C">
        <w:t xml:space="preserve">. </w:t>
      </w:r>
      <w:r>
        <w:t xml:space="preserve">It is worth noting, </w:t>
      </w:r>
      <w:r w:rsidRPr="005D637C">
        <w:t xml:space="preserve">Brennan and Roberts suggest Frede’s use of “truth” be understood as “true according to the final theory of reality,” </w:t>
      </w:r>
      <w:r>
        <w:t>which strikes me as quite</w:t>
      </w:r>
      <w:r w:rsidRPr="005D637C">
        <w:t xml:space="preserve"> plausible.</w:t>
      </w:r>
      <w:r>
        <w:t xml:space="preserve"> I lack the space, unfortunately, for further discussion here. </w:t>
      </w:r>
    </w:p>
  </w:footnote>
  <w:footnote w:id="45">
    <w:p w14:paraId="0B95710E" w14:textId="24068CEE" w:rsidR="00085071" w:rsidRDefault="00085071" w:rsidP="00B965EC">
      <w:pPr>
        <w:pStyle w:val="FootnoteText"/>
        <w:ind w:left="180" w:hanging="180"/>
      </w:pPr>
      <w:r>
        <w:rPr>
          <w:rStyle w:val="FootnoteReference"/>
        </w:rPr>
        <w:footnoteRef/>
      </w:r>
      <w:r>
        <w:t xml:space="preserve">Correspondence theories of truth hold (roughly) proposition p is true just in case p corresponds to some fact. That Dogmatists were correspondence theorists is uncontentious, though see (Hankinson, pg. 73, 2003) for rebuttal. </w:t>
      </w:r>
    </w:p>
  </w:footnote>
  <w:footnote w:id="46">
    <w:p w14:paraId="4F4ABA20" w14:textId="028F3A70" w:rsidR="00085071" w:rsidRDefault="00085071" w:rsidP="00B965EC">
      <w:pPr>
        <w:pStyle w:val="FootnoteText"/>
        <w:ind w:left="180" w:hanging="180"/>
      </w:pPr>
      <w:r>
        <w:rPr>
          <w:rStyle w:val="FootnoteReference"/>
        </w:rPr>
        <w:footnoteRef/>
      </w:r>
      <w:r>
        <w:t>(Frede, pg. 206)</w:t>
      </w:r>
    </w:p>
  </w:footnote>
  <w:footnote w:id="47">
    <w:p w14:paraId="28E23912" w14:textId="1D756072" w:rsidR="00085071" w:rsidRPr="00AF7D41" w:rsidRDefault="00085071" w:rsidP="00B965EC">
      <w:pPr>
        <w:pStyle w:val="FootnoteText"/>
        <w:ind w:left="180" w:hanging="180"/>
      </w:pPr>
      <w:r>
        <w:rPr>
          <w:rStyle w:val="FootnoteReference"/>
        </w:rPr>
        <w:footnoteRef/>
      </w:r>
      <w:r w:rsidR="004842FD">
        <w:t>A commenter urged Frede’s distinction</w:t>
      </w:r>
      <w:r>
        <w:t xml:space="preserve"> </w:t>
      </w:r>
      <w:r w:rsidR="004842FD">
        <w:t xml:space="preserve">here </w:t>
      </w:r>
      <w:r>
        <w:t>suggests different attitudes, rather than different truth</w:t>
      </w:r>
      <w:r w:rsidR="004842FD">
        <w:t>, since</w:t>
      </w:r>
      <w:r w:rsidRPr="00AD3054">
        <w:t xml:space="preserve"> “Relating to propositions in fundamentally different</w:t>
      </w:r>
      <w:r>
        <w:t xml:space="preserve"> ways seems like having differen</w:t>
      </w:r>
      <w:r w:rsidR="004842FD">
        <w:t>t attitudes..</w:t>
      </w:r>
      <w:r>
        <w:t>.” In response</w:t>
      </w:r>
      <w:r w:rsidR="004842FD">
        <w:t xml:space="preserve"> note whether this is a worry</w:t>
      </w:r>
      <w:r>
        <w:t xml:space="preserve"> depends on what ‘fundamentally different ways’ mea</w:t>
      </w:r>
      <w:r w:rsidR="004842FD">
        <w:t>ns. Presumably, the idea is</w:t>
      </w:r>
      <w:r>
        <w:t xml:space="preserve"> </w:t>
      </w:r>
      <w:r w:rsidR="004842FD">
        <w:t xml:space="preserve">that </w:t>
      </w:r>
      <w:r>
        <w:t xml:space="preserve">taking p </w:t>
      </w:r>
      <w:r>
        <w:rPr>
          <w:i/>
        </w:rPr>
        <w:t>as true</w:t>
      </w:r>
      <w:r>
        <w:t xml:space="preserve"> is fundamentally different from </w:t>
      </w:r>
      <w:r w:rsidR="004842FD">
        <w:t>not. However, this</w:t>
      </w:r>
      <w:r>
        <w:t xml:space="preserve"> does not </w:t>
      </w:r>
      <w:r w:rsidRPr="00AD3054">
        <w:rPr>
          <w:i/>
        </w:rPr>
        <w:t xml:space="preserve">in general </w:t>
      </w:r>
      <w:r w:rsidR="004842FD">
        <w:t>signal</w:t>
      </w:r>
      <w:r>
        <w:t xml:space="preserve"> a differe</w:t>
      </w:r>
      <w:r w:rsidR="004842FD">
        <w:t>nce in attitude. S</w:t>
      </w:r>
      <w:r>
        <w:t xml:space="preserve">uppose John </w:t>
      </w:r>
      <w:r w:rsidR="004842FD">
        <w:t xml:space="preserve">knows he </w:t>
      </w:r>
      <w:r>
        <w:t>is</w:t>
      </w:r>
      <w:r w:rsidR="004842FD">
        <w:t xml:space="preserve"> bald. Suppose John at one time imagines he is bald, and another imagines he is not. John may take the former as true but not the latter, yet John imagines in both cases</w:t>
      </w:r>
      <w:r w:rsidR="00B965EC">
        <w:t>. Of course, this is because taking the content of an imagining to be true or not is incidental to how imagining is individuated as an attitude. Hence,</w:t>
      </w:r>
      <w:r>
        <w:t xml:space="preserve"> it m</w:t>
      </w:r>
      <w:r w:rsidR="00B965EC">
        <w:t>ust be argued</w:t>
      </w:r>
      <w:r>
        <w:t xml:space="preserve"> </w:t>
      </w:r>
      <w:r>
        <w:rPr>
          <w:i/>
        </w:rPr>
        <w:t>belief</w:t>
      </w:r>
      <w:r>
        <w:t xml:space="preserve"> is an att</w:t>
      </w:r>
      <w:r w:rsidR="00B965EC">
        <w:t xml:space="preserve">itude where this is a distinction with a difference. And this is precisely what Frede rejects. </w:t>
      </w:r>
      <w:r>
        <w:t xml:space="preserve"> </w:t>
      </w:r>
    </w:p>
  </w:footnote>
  <w:footnote w:id="48">
    <w:p w14:paraId="59346EA7" w14:textId="219A04CD" w:rsidR="00085071" w:rsidRDefault="00085071" w:rsidP="00B965EC">
      <w:pPr>
        <w:pStyle w:val="FootnoteText"/>
        <w:tabs>
          <w:tab w:val="left" w:pos="180"/>
        </w:tabs>
        <w:ind w:left="180" w:hanging="180"/>
      </w:pPr>
      <w:r>
        <w:rPr>
          <w:rStyle w:val="FootnoteReference"/>
        </w:rPr>
        <w:footnoteRef/>
      </w:r>
      <w:r>
        <w:t xml:space="preserve">This is inspired by (Frede, pg. 207)’s accepting a ruler by not condemning them vs accepting by expressed consent. </w:t>
      </w:r>
    </w:p>
  </w:footnote>
  <w:footnote w:id="49">
    <w:p w14:paraId="41368B65" w14:textId="2784AB82" w:rsidR="00085071" w:rsidRDefault="00085071" w:rsidP="00B965EC">
      <w:pPr>
        <w:pStyle w:val="FootnoteText"/>
        <w:tabs>
          <w:tab w:val="left" w:pos="180"/>
        </w:tabs>
        <w:ind w:left="180" w:hanging="180"/>
      </w:pPr>
      <w:r>
        <w:rPr>
          <w:rStyle w:val="FootnoteReference"/>
        </w:rPr>
        <w:footnoteRef/>
      </w:r>
      <w:r>
        <w:t>Skeptics are in this respect analogous to children being guided by a chaperon, a metaphor Sextus himself employs to describe living the Skeptic life</w:t>
      </w:r>
      <w:r w:rsidRPr="00AF26D0">
        <w:t xml:space="preserve"> (I.230)</w:t>
      </w:r>
      <w:r>
        <w:t>.</w:t>
      </w:r>
      <w:r w:rsidRPr="00AF26D0">
        <w:t xml:space="preserve">  </w:t>
      </w:r>
      <w:r>
        <w:t xml:space="preserve"> </w:t>
      </w:r>
    </w:p>
  </w:footnote>
  <w:footnote w:id="50">
    <w:p w14:paraId="1FED07FA" w14:textId="0BF6317B" w:rsidR="00085071" w:rsidRDefault="00085071" w:rsidP="00B965EC">
      <w:pPr>
        <w:pStyle w:val="FootnoteText"/>
        <w:ind w:left="180" w:hanging="180"/>
      </w:pPr>
      <w:r>
        <w:rPr>
          <w:rStyle w:val="FootnoteReference"/>
        </w:rPr>
        <w:footnoteRef/>
      </w:r>
      <w:r>
        <w:t xml:space="preserve">Deflationary theories of truth hold (roughly) claiming p is true is simply claiming p; truth is not a genuine property applied to propositions.  </w:t>
      </w:r>
    </w:p>
  </w:footnote>
  <w:footnote w:id="51">
    <w:p w14:paraId="7860D570" w14:textId="77777777" w:rsidR="00085071" w:rsidRPr="005D637C" w:rsidRDefault="00085071" w:rsidP="00B965EC">
      <w:pPr>
        <w:pStyle w:val="FootnoteText"/>
        <w:tabs>
          <w:tab w:val="left" w:pos="180"/>
        </w:tabs>
        <w:ind w:left="180" w:hanging="180"/>
      </w:pPr>
      <w:r w:rsidRPr="005D637C">
        <w:rPr>
          <w:rStyle w:val="FootnoteReference"/>
        </w:rPr>
        <w:footnoteRef/>
      </w:r>
      <w:r w:rsidRPr="005D637C">
        <w:t xml:space="preserve">(Frede, </w:t>
      </w:r>
      <w:r>
        <w:t>1983, pg. 133</w:t>
      </w:r>
      <w:r w:rsidRPr="005D637C">
        <w:t>)</w:t>
      </w:r>
    </w:p>
  </w:footnote>
  <w:footnote w:id="52">
    <w:p w14:paraId="35E91702" w14:textId="77777777" w:rsidR="00085071" w:rsidRPr="005D637C" w:rsidRDefault="00085071" w:rsidP="00B965EC">
      <w:pPr>
        <w:pStyle w:val="FootnoteText"/>
        <w:tabs>
          <w:tab w:val="left" w:pos="180"/>
        </w:tabs>
        <w:ind w:left="180" w:hanging="180"/>
      </w:pPr>
      <w:r w:rsidRPr="005D637C">
        <w:rPr>
          <w:rStyle w:val="FootnoteReference"/>
        </w:rPr>
        <w:footnoteRef/>
      </w:r>
      <w:r w:rsidRPr="005D637C">
        <w:t>See (Mor</w:t>
      </w:r>
      <w:r>
        <w:t xml:space="preserve">ison, 2014). NB: Morison writes “logically equivalent” where Frede wrote “necessarily equivalent.” </w:t>
      </w:r>
    </w:p>
  </w:footnote>
  <w:footnote w:id="53">
    <w:p w14:paraId="07E836A7" w14:textId="288CA3FF" w:rsidR="00085071" w:rsidRPr="005D637C" w:rsidRDefault="00085071" w:rsidP="00B965EC">
      <w:pPr>
        <w:pStyle w:val="FootnoteText"/>
        <w:tabs>
          <w:tab w:val="left" w:pos="180"/>
        </w:tabs>
        <w:ind w:left="180" w:hanging="180"/>
      </w:pPr>
      <w:r w:rsidRPr="005D637C">
        <w:rPr>
          <w:rStyle w:val="FootnoteReference"/>
        </w:rPr>
        <w:footnoteRef/>
      </w:r>
      <w:r w:rsidRPr="005D637C">
        <w:t>(Strawson, 1949).</w:t>
      </w:r>
      <w:r>
        <w:t xml:space="preserve"> See (Morison, 2014) for the suggestion. </w:t>
      </w:r>
    </w:p>
  </w:footnote>
  <w:footnote w:id="54">
    <w:p w14:paraId="0C4D25BD" w14:textId="7062EE45" w:rsidR="00085071" w:rsidRDefault="00085071" w:rsidP="00B965EC">
      <w:pPr>
        <w:pStyle w:val="FootnoteText"/>
        <w:ind w:left="180" w:hanging="180"/>
      </w:pPr>
      <w:r>
        <w:rPr>
          <w:rStyle w:val="FootnoteReference"/>
        </w:rPr>
        <w:footnoteRef/>
      </w:r>
      <w:r>
        <w:t xml:space="preserve">This, in fact, distinguished Strawson’s performative theory of truth from deflationist siblings who advocated truth-talk as simply redundant, e.g. Ramsey, Frege, etc. </w:t>
      </w:r>
    </w:p>
  </w:footnote>
  <w:footnote w:id="55">
    <w:p w14:paraId="506DF412" w14:textId="77777777" w:rsidR="00085071" w:rsidRDefault="00085071" w:rsidP="00B965EC">
      <w:pPr>
        <w:pStyle w:val="FootnoteText"/>
        <w:ind w:left="180" w:hanging="180"/>
      </w:pPr>
      <w:r>
        <w:rPr>
          <w:rStyle w:val="FootnoteReference"/>
        </w:rPr>
        <w:footnoteRef/>
      </w:r>
      <w:r>
        <w:t xml:space="preserve">Strawson’s favorite example was “Ditto” but we can update. The sense of “Right” intended is that associated with affirming, rather than, say, that associated with giving directions, or describing political affiliations. </w:t>
      </w:r>
    </w:p>
  </w:footnote>
  <w:footnote w:id="56">
    <w:p w14:paraId="46A8D645" w14:textId="003299CE" w:rsidR="00085071" w:rsidRDefault="00085071" w:rsidP="00B965EC">
      <w:pPr>
        <w:pStyle w:val="FootnoteText"/>
        <w:ind w:left="180" w:hanging="180"/>
      </w:pPr>
      <w:r>
        <w:rPr>
          <w:rStyle w:val="FootnoteReference"/>
        </w:rPr>
        <w:footnoteRef/>
      </w:r>
      <w:r>
        <w:t xml:space="preserve">Assume otherwise. Then “I endorse p” is part of the semantic content of “p. I endorse p.” Then “I endorse p” would be, assuming classical logic, true or false. Either option would undermine Strawson’s deflationary attack on truth. </w:t>
      </w:r>
    </w:p>
  </w:footnote>
  <w:footnote w:id="57">
    <w:p w14:paraId="45A28CC3" w14:textId="77777777" w:rsidR="005F6218" w:rsidRDefault="005F6218" w:rsidP="005F6218">
      <w:pPr>
        <w:pStyle w:val="FootnoteText"/>
        <w:ind w:left="180" w:hanging="180"/>
      </w:pPr>
      <w:r>
        <w:rPr>
          <w:rStyle w:val="FootnoteReference"/>
        </w:rPr>
        <w:footnoteRef/>
      </w:r>
      <w:r>
        <w:t xml:space="preserve">For completeness, arguably Dogmatists are also accurately characterized with (1) and (2), and </w:t>
      </w:r>
      <w:r>
        <w:rPr>
          <w:i/>
        </w:rPr>
        <w:t>a fortiori</w:t>
      </w:r>
      <w:r>
        <w:t xml:space="preserve">, (*). In other words, each thesis considered applies, as do their consequences.  </w:t>
      </w:r>
    </w:p>
  </w:footnote>
  <w:footnote w:id="58">
    <w:p w14:paraId="4354F103" w14:textId="4B75110A" w:rsidR="00767255" w:rsidRDefault="00767255" w:rsidP="00686D74">
      <w:pPr>
        <w:pStyle w:val="FootnoteText"/>
        <w:ind w:left="180" w:hanging="180"/>
      </w:pPr>
      <w:r>
        <w:rPr>
          <w:rStyle w:val="FootnoteReference"/>
        </w:rPr>
        <w:footnoteRef/>
      </w:r>
      <w:r>
        <w:t>A worry – We have characterized Skeptics with (2), but this thesis is neutral over whether assent is voluntary or involuntary</w:t>
      </w:r>
      <w:r w:rsidR="00686D74">
        <w:t>. T</w:t>
      </w:r>
      <w:r>
        <w:t>his apparently leaves open the possibility of Skeptics acquiring beliefs from voluntary assent, i.e. from reasoning and argumentation. In response, note on our chara</w:t>
      </w:r>
      <w:r w:rsidR="00686D74">
        <w:t xml:space="preserve">cterization for assent to be voluntary in (2) requires accepting (1) as well. One consequence is that since (1) does not apply to Skeptics, they do not voluntarily assent. That, however, seems to be what Sextus has in mind, and to that extent, is desirable. </w:t>
      </w:r>
      <w:r>
        <w:t xml:space="preserve"> </w:t>
      </w:r>
    </w:p>
  </w:footnote>
  <w:footnote w:id="59">
    <w:p w14:paraId="39E4AAC9" w14:textId="743FFB65" w:rsidR="00085071" w:rsidRDefault="00085071" w:rsidP="00B965EC">
      <w:pPr>
        <w:pStyle w:val="FootnoteText"/>
        <w:ind w:left="180" w:hanging="180"/>
      </w:pPr>
      <w:r>
        <w:rPr>
          <w:rStyle w:val="FootnoteReference"/>
        </w:rPr>
        <w:footnoteRef/>
      </w:r>
      <w:r>
        <w:t xml:space="preserve">Strawson’s performative theory of truth is susceptible to various counterexamples </w:t>
      </w:r>
      <w:r w:rsidRPr="005F5540">
        <w:rPr>
          <w:i/>
        </w:rPr>
        <w:t>qua</w:t>
      </w:r>
      <w:r>
        <w:t xml:space="preserve"> truth. Given our characterization of Frede as accepting (3) and (4), however, our focus is not truth </w:t>
      </w:r>
      <w:r w:rsidRPr="004C290D">
        <w:rPr>
          <w:i/>
        </w:rPr>
        <w:t>per se</w:t>
      </w:r>
      <w:r>
        <w:t>, but on both belief and endorsement.</w:t>
      </w:r>
    </w:p>
  </w:footnote>
  <w:footnote w:id="60">
    <w:p w14:paraId="1672595A" w14:textId="77777777" w:rsidR="00085071" w:rsidRDefault="00085071" w:rsidP="00B965EC">
      <w:pPr>
        <w:pStyle w:val="FootnoteText"/>
        <w:ind w:left="180" w:hanging="180"/>
      </w:pPr>
      <w:r>
        <w:rPr>
          <w:rStyle w:val="FootnoteReference"/>
        </w:rPr>
        <w:footnoteRef/>
      </w:r>
      <w:r>
        <w:t xml:space="preserve">Strawson’s account seems fine with self-ascribed beliefs, but belief reports make trouble. Motivation for the counterexample here can be found in Strawson’s own discussion of so-called “second-order, existential meta-statements” such as “What the policeman said is true.” (Strawson, 1949, pgs. 92-93). </w:t>
      </w:r>
    </w:p>
  </w:footnote>
  <w:footnote w:id="61">
    <w:p w14:paraId="004AC2CC" w14:textId="3A6178CE" w:rsidR="00085071" w:rsidRDefault="00085071" w:rsidP="00B965EC">
      <w:pPr>
        <w:pStyle w:val="FootnoteText"/>
        <w:ind w:left="180" w:hanging="180"/>
      </w:pPr>
      <w:r>
        <w:rPr>
          <w:rStyle w:val="FootnoteReference"/>
        </w:rPr>
        <w:footnoteRef/>
      </w:r>
      <w:r>
        <w:t xml:space="preserve">This assumes the rather common view that the propositional attitude belief inherits semantic evaluations based on propositional content, e.g. if John has two hands and John believes he has two hands, then John’s belief is true; if John maintains his belief but as a matter of fact loses his hands, then John’s belief is false.  </w:t>
      </w:r>
    </w:p>
  </w:footnote>
  <w:footnote w:id="62">
    <w:p w14:paraId="51681CAD" w14:textId="77777777" w:rsidR="00085071" w:rsidRDefault="00085071" w:rsidP="00B965EC">
      <w:pPr>
        <w:pStyle w:val="FootnoteText"/>
        <w:ind w:left="180" w:hanging="180"/>
      </w:pPr>
      <w:r>
        <w:rPr>
          <w:rStyle w:val="FootnoteReference"/>
        </w:rPr>
        <w:footnoteRef/>
      </w:r>
      <w:r>
        <w:t>(Strawson, 1949, pgs. 92-93).</w:t>
      </w:r>
    </w:p>
  </w:footnote>
  <w:footnote w:id="63">
    <w:p w14:paraId="7E4F585C" w14:textId="43904B0C" w:rsidR="00085071" w:rsidRDefault="00085071" w:rsidP="00B965EC">
      <w:pPr>
        <w:pStyle w:val="FootnoteText"/>
        <w:ind w:left="180" w:hanging="180"/>
      </w:pPr>
      <w:r>
        <w:rPr>
          <w:rStyle w:val="FootnoteReference"/>
        </w:rPr>
        <w:footnoteRef/>
      </w:r>
      <w:r>
        <w:t xml:space="preserve">Incidentally, it is plausible that John endorses the statement, and hence, by (4), John believes the statement is true. </w:t>
      </w:r>
    </w:p>
  </w:footnote>
  <w:footnote w:id="64">
    <w:p w14:paraId="29C63CF2" w14:textId="77777777" w:rsidR="005F6218" w:rsidRPr="00D74402" w:rsidRDefault="005F6218" w:rsidP="005F6218">
      <w:pPr>
        <w:pStyle w:val="FootnoteText"/>
        <w:ind w:left="180" w:hanging="180"/>
      </w:pPr>
      <w:r>
        <w:rPr>
          <w:rStyle w:val="FootnoteReference"/>
        </w:rPr>
        <w:footnoteRef/>
      </w:r>
      <w:r>
        <w:t xml:space="preserve">Just before the section titled </w:t>
      </w:r>
      <w:r>
        <w:rPr>
          <w:i/>
        </w:rPr>
        <w:t>Strawson + Frede = Yes</w:t>
      </w:r>
      <w:r>
        <w:t>.</w:t>
      </w:r>
    </w:p>
  </w:footnote>
  <w:footnote w:id="65">
    <w:p w14:paraId="1B4BFCCB" w14:textId="2419B81F" w:rsidR="00085071" w:rsidRDefault="00085071" w:rsidP="00B965EC">
      <w:pPr>
        <w:pStyle w:val="FootnoteText"/>
        <w:ind w:left="180" w:hanging="180"/>
      </w:pPr>
      <w:r>
        <w:rPr>
          <w:rStyle w:val="FootnoteReference"/>
        </w:rPr>
        <w:footnoteRef/>
      </w:r>
      <w:r>
        <w:t>(Frede, 1983, pg. 133)</w:t>
      </w:r>
    </w:p>
  </w:footnote>
  <w:footnote w:id="66">
    <w:p w14:paraId="74F2600D" w14:textId="3F8A3F8D" w:rsidR="00085071" w:rsidRDefault="00085071" w:rsidP="00B965EC">
      <w:pPr>
        <w:pStyle w:val="FootnoteText"/>
        <w:ind w:left="180" w:hanging="180"/>
      </w:pPr>
      <w:r>
        <w:rPr>
          <w:rStyle w:val="FootnoteReference"/>
        </w:rPr>
        <w:footnoteRef/>
      </w:r>
      <w:r>
        <w:t>In particular, Horwich’s minimalist theory of truth (</w:t>
      </w:r>
      <w:r w:rsidRPr="0059211B">
        <w:t>Horwich, 1998</w:t>
      </w:r>
      <w:r>
        <w:t xml:space="preserve">). On this proposal, roughly, ‘truth’ is no more substantial a property than ‘existence.’ It is simply what a collection of propositions have in common, much like existence is what existing objects have in common. I hope to explore this in future work on the Skeptics.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6EA16" w14:textId="1B4FE831" w:rsidR="00085071" w:rsidRDefault="00085071" w:rsidP="009D6099">
    <w:pPr>
      <w:pStyle w:val="Header"/>
    </w:pPr>
    <w:r>
      <w:t xml:space="preserve">Frede among the Skeptics </w:t>
    </w:r>
    <w:r>
      <w:tab/>
    </w:r>
    <w:r>
      <w:tab/>
      <w:t>John Beverley</w:t>
    </w:r>
  </w:p>
  <w:p w14:paraId="49FFF521" w14:textId="1431715D" w:rsidR="00085071" w:rsidRDefault="00085071" w:rsidP="00EB7CD9">
    <w:pPr>
      <w:pStyle w:val="Header"/>
      <w:jc w:val="right"/>
    </w:pPr>
    <w:r>
      <w:t>johnbeverley2021@u.northwestern.edu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A07"/>
    <w:multiLevelType w:val="hybridMultilevel"/>
    <w:tmpl w:val="41525F94"/>
    <w:lvl w:ilvl="0" w:tplc="106C4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0A6F"/>
    <w:multiLevelType w:val="hybridMultilevel"/>
    <w:tmpl w:val="072A4E64"/>
    <w:lvl w:ilvl="0" w:tplc="D0FE5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E741C"/>
    <w:multiLevelType w:val="hybridMultilevel"/>
    <w:tmpl w:val="8A24F810"/>
    <w:lvl w:ilvl="0" w:tplc="77C0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E6398B"/>
    <w:multiLevelType w:val="hybridMultilevel"/>
    <w:tmpl w:val="430A4D80"/>
    <w:lvl w:ilvl="0" w:tplc="6C5EB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63EDA"/>
    <w:multiLevelType w:val="hybridMultilevel"/>
    <w:tmpl w:val="0EC849D4"/>
    <w:lvl w:ilvl="0" w:tplc="68B2D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93B0D"/>
    <w:multiLevelType w:val="hybridMultilevel"/>
    <w:tmpl w:val="8A24F810"/>
    <w:lvl w:ilvl="0" w:tplc="77C0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C065E0"/>
    <w:multiLevelType w:val="hybridMultilevel"/>
    <w:tmpl w:val="41525F94"/>
    <w:lvl w:ilvl="0" w:tplc="106C4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B8"/>
    <w:rsid w:val="00013501"/>
    <w:rsid w:val="00015BD7"/>
    <w:rsid w:val="00016A49"/>
    <w:rsid w:val="00022F1B"/>
    <w:rsid w:val="000500F6"/>
    <w:rsid w:val="00060076"/>
    <w:rsid w:val="00062997"/>
    <w:rsid w:val="00064A18"/>
    <w:rsid w:val="00067562"/>
    <w:rsid w:val="00080936"/>
    <w:rsid w:val="00085071"/>
    <w:rsid w:val="000B6DDF"/>
    <w:rsid w:val="000C492D"/>
    <w:rsid w:val="000D3794"/>
    <w:rsid w:val="000D7CFF"/>
    <w:rsid w:val="000E4CD4"/>
    <w:rsid w:val="000E4CDD"/>
    <w:rsid w:val="00103E85"/>
    <w:rsid w:val="00107978"/>
    <w:rsid w:val="00110A8D"/>
    <w:rsid w:val="00125424"/>
    <w:rsid w:val="0014239A"/>
    <w:rsid w:val="00150AAE"/>
    <w:rsid w:val="001636C2"/>
    <w:rsid w:val="001767F4"/>
    <w:rsid w:val="0017736A"/>
    <w:rsid w:val="0017791D"/>
    <w:rsid w:val="001870C7"/>
    <w:rsid w:val="0018756A"/>
    <w:rsid w:val="00191A01"/>
    <w:rsid w:val="00193CBE"/>
    <w:rsid w:val="0019780F"/>
    <w:rsid w:val="001A1555"/>
    <w:rsid w:val="001A2AAF"/>
    <w:rsid w:val="001A2C95"/>
    <w:rsid w:val="001B1875"/>
    <w:rsid w:val="001C3410"/>
    <w:rsid w:val="001C74C7"/>
    <w:rsid w:val="001D7A5D"/>
    <w:rsid w:val="001F0F6B"/>
    <w:rsid w:val="001F4168"/>
    <w:rsid w:val="001F591A"/>
    <w:rsid w:val="001F7E5F"/>
    <w:rsid w:val="002004CE"/>
    <w:rsid w:val="002067AC"/>
    <w:rsid w:val="0022008B"/>
    <w:rsid w:val="00221CEF"/>
    <w:rsid w:val="002306B8"/>
    <w:rsid w:val="00245020"/>
    <w:rsid w:val="00256D0F"/>
    <w:rsid w:val="002605DD"/>
    <w:rsid w:val="00280B9D"/>
    <w:rsid w:val="00282C13"/>
    <w:rsid w:val="00295531"/>
    <w:rsid w:val="002A4223"/>
    <w:rsid w:val="002A50BD"/>
    <w:rsid w:val="002B18AA"/>
    <w:rsid w:val="002B3CDD"/>
    <w:rsid w:val="002B4CEE"/>
    <w:rsid w:val="002B6947"/>
    <w:rsid w:val="002B6FC0"/>
    <w:rsid w:val="002D0793"/>
    <w:rsid w:val="003058A5"/>
    <w:rsid w:val="003064C6"/>
    <w:rsid w:val="00307391"/>
    <w:rsid w:val="003104B2"/>
    <w:rsid w:val="00322EBD"/>
    <w:rsid w:val="003256B9"/>
    <w:rsid w:val="00361975"/>
    <w:rsid w:val="00370065"/>
    <w:rsid w:val="00374096"/>
    <w:rsid w:val="003A0357"/>
    <w:rsid w:val="003A3E65"/>
    <w:rsid w:val="003B2F5B"/>
    <w:rsid w:val="003C1316"/>
    <w:rsid w:val="003E6261"/>
    <w:rsid w:val="0040556F"/>
    <w:rsid w:val="00406D5B"/>
    <w:rsid w:val="004147F8"/>
    <w:rsid w:val="00424969"/>
    <w:rsid w:val="00426165"/>
    <w:rsid w:val="00434D19"/>
    <w:rsid w:val="0044019E"/>
    <w:rsid w:val="0044081A"/>
    <w:rsid w:val="00440AA0"/>
    <w:rsid w:val="00444A90"/>
    <w:rsid w:val="00456C81"/>
    <w:rsid w:val="004578E1"/>
    <w:rsid w:val="00462AC5"/>
    <w:rsid w:val="00471754"/>
    <w:rsid w:val="004842FD"/>
    <w:rsid w:val="00493991"/>
    <w:rsid w:val="00495ACF"/>
    <w:rsid w:val="004975B7"/>
    <w:rsid w:val="004C290D"/>
    <w:rsid w:val="004C344C"/>
    <w:rsid w:val="004C3B26"/>
    <w:rsid w:val="004D28E1"/>
    <w:rsid w:val="004E1A41"/>
    <w:rsid w:val="004F15A8"/>
    <w:rsid w:val="004F2325"/>
    <w:rsid w:val="004F4025"/>
    <w:rsid w:val="0050765F"/>
    <w:rsid w:val="00517CE8"/>
    <w:rsid w:val="00520A2D"/>
    <w:rsid w:val="005240CC"/>
    <w:rsid w:val="005351E0"/>
    <w:rsid w:val="00537C3C"/>
    <w:rsid w:val="0054512D"/>
    <w:rsid w:val="00547ABA"/>
    <w:rsid w:val="0056393B"/>
    <w:rsid w:val="00566775"/>
    <w:rsid w:val="00567E0F"/>
    <w:rsid w:val="00572A5C"/>
    <w:rsid w:val="0059211B"/>
    <w:rsid w:val="00593C3D"/>
    <w:rsid w:val="00595EC4"/>
    <w:rsid w:val="005C1133"/>
    <w:rsid w:val="005D637C"/>
    <w:rsid w:val="005E607C"/>
    <w:rsid w:val="005F0993"/>
    <w:rsid w:val="005F5540"/>
    <w:rsid w:val="005F6218"/>
    <w:rsid w:val="00604289"/>
    <w:rsid w:val="00606020"/>
    <w:rsid w:val="006066AE"/>
    <w:rsid w:val="00610B71"/>
    <w:rsid w:val="00620F38"/>
    <w:rsid w:val="00632D2E"/>
    <w:rsid w:val="00634B35"/>
    <w:rsid w:val="006461CF"/>
    <w:rsid w:val="006463C6"/>
    <w:rsid w:val="006603ED"/>
    <w:rsid w:val="00662036"/>
    <w:rsid w:val="00667A88"/>
    <w:rsid w:val="00667B21"/>
    <w:rsid w:val="0068332B"/>
    <w:rsid w:val="006868A7"/>
    <w:rsid w:val="00686D74"/>
    <w:rsid w:val="0069105E"/>
    <w:rsid w:val="00691819"/>
    <w:rsid w:val="00691EF3"/>
    <w:rsid w:val="006A68DA"/>
    <w:rsid w:val="006A7734"/>
    <w:rsid w:val="006B11EB"/>
    <w:rsid w:val="006C1C44"/>
    <w:rsid w:val="006C56B6"/>
    <w:rsid w:val="006D1DE0"/>
    <w:rsid w:val="006E15F4"/>
    <w:rsid w:val="006E3EA4"/>
    <w:rsid w:val="006F0255"/>
    <w:rsid w:val="006F2DF7"/>
    <w:rsid w:val="00713649"/>
    <w:rsid w:val="0071539B"/>
    <w:rsid w:val="007157FB"/>
    <w:rsid w:val="00731873"/>
    <w:rsid w:val="00732103"/>
    <w:rsid w:val="00743B30"/>
    <w:rsid w:val="00757FCE"/>
    <w:rsid w:val="007604FB"/>
    <w:rsid w:val="00767255"/>
    <w:rsid w:val="007717F2"/>
    <w:rsid w:val="00775BBF"/>
    <w:rsid w:val="0077786B"/>
    <w:rsid w:val="00785CFE"/>
    <w:rsid w:val="00794C51"/>
    <w:rsid w:val="007D30AB"/>
    <w:rsid w:val="007E7893"/>
    <w:rsid w:val="007F01A5"/>
    <w:rsid w:val="007F2CCC"/>
    <w:rsid w:val="007F672C"/>
    <w:rsid w:val="008000B8"/>
    <w:rsid w:val="00800CAD"/>
    <w:rsid w:val="00803B59"/>
    <w:rsid w:val="00822BDC"/>
    <w:rsid w:val="0083132B"/>
    <w:rsid w:val="00832638"/>
    <w:rsid w:val="0083602E"/>
    <w:rsid w:val="008377F4"/>
    <w:rsid w:val="00840390"/>
    <w:rsid w:val="00840582"/>
    <w:rsid w:val="00842C9E"/>
    <w:rsid w:val="00860288"/>
    <w:rsid w:val="00861766"/>
    <w:rsid w:val="008632AA"/>
    <w:rsid w:val="00865971"/>
    <w:rsid w:val="00896972"/>
    <w:rsid w:val="008A148F"/>
    <w:rsid w:val="008C794D"/>
    <w:rsid w:val="008D44E8"/>
    <w:rsid w:val="0090797D"/>
    <w:rsid w:val="009115EB"/>
    <w:rsid w:val="00930FEC"/>
    <w:rsid w:val="00933FBD"/>
    <w:rsid w:val="009442CD"/>
    <w:rsid w:val="0094650F"/>
    <w:rsid w:val="00951F89"/>
    <w:rsid w:val="00955FBF"/>
    <w:rsid w:val="00973F6B"/>
    <w:rsid w:val="00981C4F"/>
    <w:rsid w:val="00993648"/>
    <w:rsid w:val="009B3775"/>
    <w:rsid w:val="009C386D"/>
    <w:rsid w:val="009D6099"/>
    <w:rsid w:val="009F0B36"/>
    <w:rsid w:val="00A0499F"/>
    <w:rsid w:val="00A070EC"/>
    <w:rsid w:val="00A0792B"/>
    <w:rsid w:val="00A119E7"/>
    <w:rsid w:val="00A11E98"/>
    <w:rsid w:val="00A12970"/>
    <w:rsid w:val="00A2246F"/>
    <w:rsid w:val="00A275B8"/>
    <w:rsid w:val="00A50C8D"/>
    <w:rsid w:val="00A537CB"/>
    <w:rsid w:val="00A65B42"/>
    <w:rsid w:val="00A7619F"/>
    <w:rsid w:val="00A954A1"/>
    <w:rsid w:val="00AA52D1"/>
    <w:rsid w:val="00AB0C49"/>
    <w:rsid w:val="00AB546E"/>
    <w:rsid w:val="00AC42C0"/>
    <w:rsid w:val="00AD2CC4"/>
    <w:rsid w:val="00AD3054"/>
    <w:rsid w:val="00AE0239"/>
    <w:rsid w:val="00AF7D41"/>
    <w:rsid w:val="00AF7F4A"/>
    <w:rsid w:val="00B00BCA"/>
    <w:rsid w:val="00B02E1E"/>
    <w:rsid w:val="00B05C61"/>
    <w:rsid w:val="00B077DA"/>
    <w:rsid w:val="00B1779D"/>
    <w:rsid w:val="00B350E7"/>
    <w:rsid w:val="00B3603E"/>
    <w:rsid w:val="00B36E9A"/>
    <w:rsid w:val="00B40BF4"/>
    <w:rsid w:val="00B51581"/>
    <w:rsid w:val="00B51D81"/>
    <w:rsid w:val="00B55DCD"/>
    <w:rsid w:val="00B84C01"/>
    <w:rsid w:val="00B84C09"/>
    <w:rsid w:val="00B94306"/>
    <w:rsid w:val="00B965EC"/>
    <w:rsid w:val="00B97580"/>
    <w:rsid w:val="00BA02EC"/>
    <w:rsid w:val="00BB374F"/>
    <w:rsid w:val="00BD3D0C"/>
    <w:rsid w:val="00BD586D"/>
    <w:rsid w:val="00BD6195"/>
    <w:rsid w:val="00BD699A"/>
    <w:rsid w:val="00BD79EA"/>
    <w:rsid w:val="00BE7A71"/>
    <w:rsid w:val="00BF7AE9"/>
    <w:rsid w:val="00C006BA"/>
    <w:rsid w:val="00C006DA"/>
    <w:rsid w:val="00C01B9B"/>
    <w:rsid w:val="00C064C3"/>
    <w:rsid w:val="00C076BB"/>
    <w:rsid w:val="00C1516F"/>
    <w:rsid w:val="00C40F87"/>
    <w:rsid w:val="00C55E71"/>
    <w:rsid w:val="00C65ECA"/>
    <w:rsid w:val="00C72E87"/>
    <w:rsid w:val="00C7345B"/>
    <w:rsid w:val="00C84834"/>
    <w:rsid w:val="00C85988"/>
    <w:rsid w:val="00C87453"/>
    <w:rsid w:val="00C911C0"/>
    <w:rsid w:val="00C93E45"/>
    <w:rsid w:val="00CA5B83"/>
    <w:rsid w:val="00D105AC"/>
    <w:rsid w:val="00D10FB5"/>
    <w:rsid w:val="00D11A2A"/>
    <w:rsid w:val="00D14648"/>
    <w:rsid w:val="00D15C62"/>
    <w:rsid w:val="00D20A45"/>
    <w:rsid w:val="00D334D2"/>
    <w:rsid w:val="00D3480C"/>
    <w:rsid w:val="00D408B7"/>
    <w:rsid w:val="00D55718"/>
    <w:rsid w:val="00D66E91"/>
    <w:rsid w:val="00D74402"/>
    <w:rsid w:val="00D81D67"/>
    <w:rsid w:val="00D87710"/>
    <w:rsid w:val="00D907FD"/>
    <w:rsid w:val="00DF6348"/>
    <w:rsid w:val="00E0718A"/>
    <w:rsid w:val="00E1017E"/>
    <w:rsid w:val="00E13FB6"/>
    <w:rsid w:val="00E20576"/>
    <w:rsid w:val="00E21CFC"/>
    <w:rsid w:val="00E23062"/>
    <w:rsid w:val="00E34E7E"/>
    <w:rsid w:val="00E3590F"/>
    <w:rsid w:val="00E36815"/>
    <w:rsid w:val="00E64EC5"/>
    <w:rsid w:val="00E80784"/>
    <w:rsid w:val="00E929D0"/>
    <w:rsid w:val="00E964C6"/>
    <w:rsid w:val="00E965FE"/>
    <w:rsid w:val="00EA489C"/>
    <w:rsid w:val="00EA65B6"/>
    <w:rsid w:val="00EB7CD9"/>
    <w:rsid w:val="00EC225A"/>
    <w:rsid w:val="00EE3EF7"/>
    <w:rsid w:val="00F0160A"/>
    <w:rsid w:val="00F064A1"/>
    <w:rsid w:val="00F14A3A"/>
    <w:rsid w:val="00F3088D"/>
    <w:rsid w:val="00F30DF6"/>
    <w:rsid w:val="00F30E24"/>
    <w:rsid w:val="00F42A24"/>
    <w:rsid w:val="00F56779"/>
    <w:rsid w:val="00F62174"/>
    <w:rsid w:val="00F67151"/>
    <w:rsid w:val="00FA18E7"/>
    <w:rsid w:val="00FB21D6"/>
    <w:rsid w:val="00FC3F09"/>
    <w:rsid w:val="00FC4CC4"/>
    <w:rsid w:val="00FE2AD8"/>
    <w:rsid w:val="00FF05BA"/>
    <w:rsid w:val="00FF302D"/>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4B2E"/>
  <w15:chartTrackingRefBased/>
  <w15:docId w15:val="{BD640556-7192-4B72-B6E9-39C19198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0FB5"/>
    <w:rPr>
      <w:sz w:val="20"/>
      <w:szCs w:val="20"/>
    </w:rPr>
  </w:style>
  <w:style w:type="character" w:customStyle="1" w:styleId="FootnoteTextChar">
    <w:name w:val="Footnote Text Char"/>
    <w:basedOn w:val="DefaultParagraphFont"/>
    <w:link w:val="FootnoteText"/>
    <w:uiPriority w:val="99"/>
    <w:semiHidden/>
    <w:rsid w:val="00D10FB5"/>
    <w:rPr>
      <w:sz w:val="20"/>
      <w:szCs w:val="20"/>
    </w:rPr>
  </w:style>
  <w:style w:type="character" w:styleId="FootnoteReference">
    <w:name w:val="footnote reference"/>
    <w:basedOn w:val="DefaultParagraphFont"/>
    <w:uiPriority w:val="99"/>
    <w:semiHidden/>
    <w:unhideWhenUsed/>
    <w:rsid w:val="00D10FB5"/>
    <w:rPr>
      <w:vertAlign w:val="superscript"/>
    </w:rPr>
  </w:style>
  <w:style w:type="paragraph" w:styleId="ListParagraph">
    <w:name w:val="List Paragraph"/>
    <w:basedOn w:val="Normal"/>
    <w:uiPriority w:val="34"/>
    <w:qFormat/>
    <w:rsid w:val="00B97580"/>
    <w:pPr>
      <w:ind w:left="720"/>
      <w:contextualSpacing/>
    </w:pPr>
  </w:style>
  <w:style w:type="character" w:styleId="CommentReference">
    <w:name w:val="annotation reference"/>
    <w:basedOn w:val="DefaultParagraphFont"/>
    <w:uiPriority w:val="99"/>
    <w:semiHidden/>
    <w:unhideWhenUsed/>
    <w:rsid w:val="007F2CCC"/>
    <w:rPr>
      <w:sz w:val="16"/>
      <w:szCs w:val="16"/>
    </w:rPr>
  </w:style>
  <w:style w:type="paragraph" w:styleId="CommentText">
    <w:name w:val="annotation text"/>
    <w:basedOn w:val="Normal"/>
    <w:link w:val="CommentTextChar"/>
    <w:uiPriority w:val="99"/>
    <w:unhideWhenUsed/>
    <w:rsid w:val="007F2CCC"/>
    <w:rPr>
      <w:sz w:val="20"/>
      <w:szCs w:val="20"/>
    </w:rPr>
  </w:style>
  <w:style w:type="character" w:customStyle="1" w:styleId="CommentTextChar">
    <w:name w:val="Comment Text Char"/>
    <w:basedOn w:val="DefaultParagraphFont"/>
    <w:link w:val="CommentText"/>
    <w:uiPriority w:val="99"/>
    <w:rsid w:val="007F2CCC"/>
    <w:rPr>
      <w:sz w:val="20"/>
      <w:szCs w:val="20"/>
    </w:rPr>
  </w:style>
  <w:style w:type="paragraph" w:styleId="CommentSubject">
    <w:name w:val="annotation subject"/>
    <w:basedOn w:val="CommentText"/>
    <w:next w:val="CommentText"/>
    <w:link w:val="CommentSubjectChar"/>
    <w:uiPriority w:val="99"/>
    <w:semiHidden/>
    <w:unhideWhenUsed/>
    <w:rsid w:val="007F2CCC"/>
    <w:rPr>
      <w:b/>
      <w:bCs/>
    </w:rPr>
  </w:style>
  <w:style w:type="character" w:customStyle="1" w:styleId="CommentSubjectChar">
    <w:name w:val="Comment Subject Char"/>
    <w:basedOn w:val="CommentTextChar"/>
    <w:link w:val="CommentSubject"/>
    <w:uiPriority w:val="99"/>
    <w:semiHidden/>
    <w:rsid w:val="007F2CCC"/>
    <w:rPr>
      <w:b/>
      <w:bCs/>
      <w:sz w:val="20"/>
      <w:szCs w:val="20"/>
    </w:rPr>
  </w:style>
  <w:style w:type="paragraph" w:styleId="BalloonText">
    <w:name w:val="Balloon Text"/>
    <w:basedOn w:val="Normal"/>
    <w:link w:val="BalloonTextChar"/>
    <w:uiPriority w:val="99"/>
    <w:semiHidden/>
    <w:unhideWhenUsed/>
    <w:rsid w:val="007F2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CCC"/>
    <w:rPr>
      <w:rFonts w:ascii="Segoe UI" w:hAnsi="Segoe UI" w:cs="Segoe UI"/>
      <w:sz w:val="18"/>
      <w:szCs w:val="18"/>
    </w:rPr>
  </w:style>
  <w:style w:type="paragraph" w:styleId="Header">
    <w:name w:val="header"/>
    <w:basedOn w:val="Normal"/>
    <w:link w:val="HeaderChar"/>
    <w:uiPriority w:val="99"/>
    <w:unhideWhenUsed/>
    <w:rsid w:val="00EB7CD9"/>
    <w:pPr>
      <w:tabs>
        <w:tab w:val="center" w:pos="4680"/>
        <w:tab w:val="right" w:pos="9360"/>
      </w:tabs>
    </w:pPr>
  </w:style>
  <w:style w:type="character" w:customStyle="1" w:styleId="HeaderChar">
    <w:name w:val="Header Char"/>
    <w:basedOn w:val="DefaultParagraphFont"/>
    <w:link w:val="Header"/>
    <w:uiPriority w:val="99"/>
    <w:rsid w:val="00EB7CD9"/>
  </w:style>
  <w:style w:type="paragraph" w:styleId="Footer">
    <w:name w:val="footer"/>
    <w:basedOn w:val="Normal"/>
    <w:link w:val="FooterChar"/>
    <w:uiPriority w:val="99"/>
    <w:unhideWhenUsed/>
    <w:rsid w:val="00EB7CD9"/>
    <w:pPr>
      <w:tabs>
        <w:tab w:val="center" w:pos="4680"/>
        <w:tab w:val="right" w:pos="9360"/>
      </w:tabs>
    </w:pPr>
  </w:style>
  <w:style w:type="character" w:customStyle="1" w:styleId="FooterChar">
    <w:name w:val="Footer Char"/>
    <w:basedOn w:val="DefaultParagraphFont"/>
    <w:link w:val="Footer"/>
    <w:uiPriority w:val="99"/>
    <w:rsid w:val="00EB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30E4-80A1-487F-B397-F1C59747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7430</TotalTime>
  <Pages>15</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Beverley</dc:creator>
  <cp:keywords/>
  <dc:description/>
  <cp:lastModifiedBy>John Beverley</cp:lastModifiedBy>
  <cp:revision>63</cp:revision>
  <dcterms:created xsi:type="dcterms:W3CDTF">2017-11-15T18:36:00Z</dcterms:created>
  <dcterms:modified xsi:type="dcterms:W3CDTF">2017-12-09T03:11:00Z</dcterms:modified>
</cp:coreProperties>
</file>